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AC4FC8" w:rsidRPr="00AC4FC8" w:rsidRDefault="00AC4FC8" w:rsidP="00AC4FC8">
      <w:pPr>
        <w:jc w:val="both"/>
        <w:rPr>
          <w:rFonts w:ascii="Arial" w:hAnsi="Arial" w:cs="Arial"/>
          <w:b/>
          <w:bCs/>
          <w:u w:val="single"/>
        </w:rPr>
      </w:pPr>
      <w:r w:rsidRPr="00AC4FC8">
        <w:rPr>
          <w:rFonts w:ascii="Arial" w:hAnsi="Arial" w:cs="Arial"/>
          <w:b/>
          <w:bCs/>
          <w:u w:val="single"/>
        </w:rPr>
        <w:t>ADDITIONAL REQUIREMENTS RELATED TO TRADING OF SINGLE STOCK FUTURES (SSF)</w:t>
      </w:r>
    </w:p>
    <w:p w:rsidR="00AC4FC8" w:rsidRPr="00AC4FC8" w:rsidRDefault="00AC4FC8" w:rsidP="00AC4FC8">
      <w:pPr>
        <w:jc w:val="both"/>
        <w:rPr>
          <w:rFonts w:ascii="Arial" w:hAnsi="Arial" w:cs="Arial"/>
          <w:b/>
          <w:bCs/>
          <w:u w:val="single"/>
        </w:rPr>
      </w:pPr>
    </w:p>
    <w:p w:rsidR="00AC4FC8" w:rsidRPr="00AC4FC8" w:rsidRDefault="00AC4FC8" w:rsidP="00AC4FC8">
      <w:pPr>
        <w:jc w:val="both"/>
        <w:rPr>
          <w:rFonts w:ascii="Arial" w:hAnsi="Arial" w:cs="Arial"/>
        </w:rPr>
      </w:pPr>
      <w:r w:rsidRPr="00AC4FC8">
        <w:rPr>
          <w:rFonts w:ascii="Arial" w:hAnsi="Arial" w:cs="Arial"/>
        </w:rPr>
        <w:t>This document contains additional requirements that must be disclosed, read, and understood by the Client wishing to engage in the trading of Single Stock Futures (SSF) on DGCX.  Clients are required to sign and acknowledge this statement prior to commencement of trading SSF Contracts on DGCX.</w:t>
      </w:r>
    </w:p>
    <w:p w:rsidR="00AC4FC8" w:rsidRPr="00AC4FC8" w:rsidRDefault="00AC4FC8" w:rsidP="00AC4FC8">
      <w:pPr>
        <w:jc w:val="both"/>
        <w:rPr>
          <w:rFonts w:ascii="Arial" w:hAnsi="Arial" w:cs="Arial"/>
          <w:iCs/>
        </w:rPr>
      </w:pPr>
    </w:p>
    <w:p w:rsidR="00AC4FC8" w:rsidRPr="00AC4FC8" w:rsidRDefault="00AC4FC8" w:rsidP="00AC4FC8">
      <w:pPr>
        <w:jc w:val="both"/>
        <w:rPr>
          <w:rFonts w:ascii="Arial" w:hAnsi="Arial" w:cs="Arial"/>
          <w:iCs/>
        </w:rPr>
      </w:pPr>
      <w:r w:rsidRPr="00AC4FC8">
        <w:rPr>
          <w:rFonts w:ascii="Arial" w:hAnsi="Arial" w:cs="Arial"/>
          <w:iCs/>
        </w:rPr>
        <w:t>The Client understands fully the risks associated with trading derivatives on such underlying equities:</w:t>
      </w:r>
    </w:p>
    <w:p w:rsidR="00AC4FC8" w:rsidRPr="00AC4FC8" w:rsidRDefault="00AC4FC8" w:rsidP="00AC4FC8">
      <w:pPr>
        <w:jc w:val="both"/>
        <w:rPr>
          <w:rFonts w:ascii="Arial" w:hAnsi="Arial" w:cs="Arial"/>
          <w:iCs/>
        </w:rPr>
      </w:pPr>
    </w:p>
    <w:p w:rsidR="00AC4FC8" w:rsidRPr="00AC4FC8" w:rsidRDefault="00AC4FC8" w:rsidP="00AC4FC8">
      <w:pPr>
        <w:pStyle w:val="ListParagraph"/>
        <w:numPr>
          <w:ilvl w:val="0"/>
          <w:numId w:val="28"/>
        </w:numPr>
        <w:spacing w:before="34" w:after="0" w:line="240" w:lineRule="auto"/>
        <w:ind w:left="360" w:right="67" w:hanging="180"/>
        <w:jc w:val="both"/>
        <w:rPr>
          <w:rFonts w:ascii="Arial" w:hAnsi="Arial" w:cs="Arial"/>
          <w:sz w:val="20"/>
          <w:szCs w:val="20"/>
        </w:rPr>
      </w:pPr>
      <w:r w:rsidRPr="00AC4FC8">
        <w:rPr>
          <w:rFonts w:ascii="Arial" w:hAnsi="Arial" w:cs="Arial"/>
          <w:sz w:val="20"/>
          <w:szCs w:val="20"/>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rsidR="00AC4FC8" w:rsidRPr="00AC4FC8" w:rsidRDefault="00AC4FC8" w:rsidP="00AC4FC8">
      <w:pPr>
        <w:pStyle w:val="ListParagraph"/>
        <w:spacing w:before="34"/>
        <w:ind w:left="360" w:right="67"/>
        <w:jc w:val="both"/>
        <w:rPr>
          <w:rFonts w:ascii="Arial" w:hAnsi="Arial" w:cs="Arial"/>
          <w:sz w:val="20"/>
          <w:szCs w:val="20"/>
        </w:rPr>
      </w:pPr>
    </w:p>
    <w:p w:rsidR="00AC4FC8" w:rsidRPr="00AC4FC8" w:rsidRDefault="00AC4FC8" w:rsidP="00AC4FC8">
      <w:pPr>
        <w:pStyle w:val="ListParagraph"/>
        <w:numPr>
          <w:ilvl w:val="0"/>
          <w:numId w:val="28"/>
        </w:numPr>
        <w:spacing w:before="34" w:after="0" w:line="240" w:lineRule="auto"/>
        <w:ind w:left="360" w:right="67" w:hanging="180"/>
        <w:jc w:val="both"/>
        <w:rPr>
          <w:rFonts w:ascii="Arial" w:hAnsi="Arial" w:cs="Arial"/>
          <w:sz w:val="20"/>
          <w:szCs w:val="20"/>
        </w:rPr>
      </w:pPr>
      <w:r w:rsidRPr="00AC4FC8">
        <w:rPr>
          <w:rFonts w:ascii="Arial" w:hAnsi="Arial" w:cs="Arial"/>
          <w:sz w:val="20"/>
          <w:szCs w:val="20"/>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rsidR="00AC4FC8" w:rsidRPr="00CB2D30" w:rsidRDefault="00AC4FC8" w:rsidP="00CB2D30">
      <w:pPr>
        <w:pStyle w:val="ListParagraph"/>
        <w:numPr>
          <w:ilvl w:val="1"/>
          <w:numId w:val="28"/>
        </w:numPr>
        <w:spacing w:before="34"/>
        <w:ind w:left="1080" w:right="67"/>
        <w:jc w:val="both"/>
        <w:rPr>
          <w:rFonts w:ascii="Arial" w:hAnsi="Arial" w:cs="Arial"/>
          <w:sz w:val="20"/>
          <w:szCs w:val="20"/>
        </w:rPr>
      </w:pPr>
      <w:r w:rsidRPr="00CB2D30">
        <w:rPr>
          <w:rFonts w:ascii="Arial" w:hAnsi="Arial" w:cs="Arial"/>
          <w:sz w:val="20"/>
          <w:szCs w:val="20"/>
        </w:rPr>
        <w:t xml:space="preserve">delay in the information availability about the corporate action announcement or associated price-sensitive news in the underlying security,  </w:t>
      </w:r>
    </w:p>
    <w:p w:rsidR="00AC4FC8" w:rsidRPr="00AC4FC8" w:rsidRDefault="00AC4FC8" w:rsidP="00AC4FC8">
      <w:pPr>
        <w:pStyle w:val="ListParagraph"/>
        <w:numPr>
          <w:ilvl w:val="1"/>
          <w:numId w:val="28"/>
        </w:numPr>
        <w:spacing w:before="34" w:after="0" w:line="240" w:lineRule="auto"/>
        <w:ind w:left="1080" w:right="67"/>
        <w:jc w:val="both"/>
        <w:rPr>
          <w:rFonts w:ascii="Arial" w:hAnsi="Arial" w:cs="Arial"/>
          <w:sz w:val="20"/>
          <w:szCs w:val="20"/>
        </w:rPr>
      </w:pPr>
      <w:r w:rsidRPr="00AC4FC8">
        <w:rPr>
          <w:rFonts w:ascii="Arial" w:hAnsi="Arial" w:cs="Arial"/>
          <w:sz w:val="20"/>
          <w:szCs w:val="20"/>
        </w:rPr>
        <w:t xml:space="preserve">the primary market for the underlying securities is closed or halted, </w:t>
      </w:r>
    </w:p>
    <w:p w:rsidR="00AC4FC8" w:rsidRPr="00AC4FC8" w:rsidRDefault="00AC4FC8" w:rsidP="00AC4FC8">
      <w:pPr>
        <w:pStyle w:val="ListParagraph"/>
        <w:numPr>
          <w:ilvl w:val="1"/>
          <w:numId w:val="28"/>
        </w:numPr>
        <w:spacing w:before="34" w:after="0" w:line="240" w:lineRule="auto"/>
        <w:ind w:left="1080" w:right="67"/>
        <w:jc w:val="both"/>
        <w:rPr>
          <w:rFonts w:ascii="Arial" w:hAnsi="Arial" w:cs="Arial"/>
          <w:sz w:val="20"/>
          <w:szCs w:val="20"/>
        </w:rPr>
      </w:pPr>
      <w:proofErr w:type="gramStart"/>
      <w:r w:rsidRPr="00AC4FC8">
        <w:rPr>
          <w:rFonts w:ascii="Arial" w:hAnsi="Arial" w:cs="Arial"/>
          <w:sz w:val="20"/>
          <w:szCs w:val="20"/>
        </w:rPr>
        <w:t>the</w:t>
      </w:r>
      <w:proofErr w:type="gramEnd"/>
      <w:r w:rsidRPr="00AC4FC8">
        <w:rPr>
          <w:rFonts w:ascii="Arial" w:hAnsi="Arial" w:cs="Arial"/>
          <w:sz w:val="20"/>
          <w:szCs w:val="20"/>
        </w:rPr>
        <w:t xml:space="preserve"> primary market for a given Single Stock Futures contract or underlying securities is illiquid.</w:t>
      </w:r>
    </w:p>
    <w:p w:rsidR="00AC4FC8" w:rsidRPr="00AC4FC8" w:rsidRDefault="00AC4FC8" w:rsidP="00AC4FC8">
      <w:pPr>
        <w:pStyle w:val="ListParagraph"/>
        <w:spacing w:before="34" w:after="0" w:line="240" w:lineRule="auto"/>
        <w:ind w:left="1080" w:right="67"/>
        <w:jc w:val="both"/>
        <w:rPr>
          <w:rFonts w:ascii="Arial" w:hAnsi="Arial" w:cs="Arial"/>
          <w:sz w:val="20"/>
          <w:szCs w:val="20"/>
        </w:rPr>
      </w:pPr>
    </w:p>
    <w:p w:rsidR="00AC4FC8" w:rsidRPr="00AC4FC8" w:rsidRDefault="00AC4FC8" w:rsidP="00AC4FC8">
      <w:pPr>
        <w:spacing w:before="34"/>
        <w:ind w:right="67"/>
        <w:jc w:val="both"/>
        <w:rPr>
          <w:rFonts w:ascii="Arial" w:hAnsi="Arial" w:cs="Arial"/>
        </w:rPr>
      </w:pPr>
      <w:r w:rsidRPr="00AC4FC8">
        <w:rPr>
          <w:rFonts w:ascii="Arial" w:hAnsi="Arial" w:cs="Arial"/>
        </w:rPr>
        <w:t xml:space="preserve">The Client is advised of the following regulatory requirements, which must be met in order to engage in trading of SSF on DGCX, and as mandated by the Securities and Commodities Authority (SCA): </w:t>
      </w:r>
    </w:p>
    <w:p w:rsidR="00AC4FC8" w:rsidRPr="00AC4FC8" w:rsidRDefault="00AC4FC8" w:rsidP="00AC4FC8">
      <w:pPr>
        <w:pStyle w:val="ListParagraph"/>
        <w:numPr>
          <w:ilvl w:val="0"/>
          <w:numId w:val="24"/>
        </w:numPr>
        <w:spacing w:before="34"/>
        <w:ind w:right="67"/>
        <w:jc w:val="both"/>
        <w:rPr>
          <w:rFonts w:ascii="Arial" w:hAnsi="Arial" w:cs="Arial"/>
          <w:sz w:val="20"/>
          <w:szCs w:val="20"/>
        </w:rPr>
      </w:pPr>
      <w:r w:rsidRPr="00AC4FC8">
        <w:rPr>
          <w:rFonts w:ascii="Arial" w:hAnsi="Arial" w:cs="Arial"/>
          <w:sz w:val="20"/>
          <w:szCs w:val="20"/>
        </w:rPr>
        <w:t xml:space="preserve">Client must have cash or investments in financial assets of a minimum value of AED 100,000. </w:t>
      </w:r>
    </w:p>
    <w:p w:rsidR="00AC4FC8" w:rsidRPr="00AC4FC8" w:rsidRDefault="00AC4FC8" w:rsidP="00AC4FC8">
      <w:pPr>
        <w:pStyle w:val="ListParagraph"/>
        <w:numPr>
          <w:ilvl w:val="0"/>
          <w:numId w:val="24"/>
        </w:numPr>
        <w:spacing w:before="34"/>
        <w:ind w:right="67"/>
        <w:jc w:val="both"/>
        <w:rPr>
          <w:rFonts w:ascii="Arial" w:hAnsi="Arial" w:cs="Arial"/>
          <w:sz w:val="20"/>
          <w:szCs w:val="20"/>
        </w:rPr>
      </w:pPr>
      <w:r w:rsidRPr="00AC4FC8">
        <w:rPr>
          <w:rFonts w:ascii="Arial" w:hAnsi="Arial" w:cs="Arial"/>
          <w:sz w:val="20"/>
          <w:szCs w:val="20"/>
        </w:rPr>
        <w:t xml:space="preserve">Client must have experience of at least two (2) years of trading in a market where stock futures are listed and traded. </w:t>
      </w:r>
    </w:p>
    <w:p w:rsidR="00AC4FC8" w:rsidRPr="00AC4FC8" w:rsidRDefault="00AC4FC8" w:rsidP="00AC4FC8">
      <w:pPr>
        <w:jc w:val="both"/>
        <w:rPr>
          <w:rFonts w:ascii="Arial" w:hAnsi="Arial" w:cs="Arial"/>
        </w:rPr>
      </w:pPr>
      <w:r w:rsidRPr="00AC4FC8">
        <w:rPr>
          <w:rFonts w:ascii="Arial" w:hAnsi="Arial" w:cs="Arial"/>
        </w:rPr>
        <w:t>The Client confirms and acknowledges that it has read the above additional requirements and understands its responsibility in disclosing said information, and agrees to assume the risks that are associated with trading in Single Stock Futures on DGCX.</w:t>
      </w:r>
    </w:p>
    <w:tbl>
      <w:tblPr>
        <w:tblW w:w="0" w:type="auto"/>
        <w:tblCellMar>
          <w:left w:w="0" w:type="dxa"/>
          <w:right w:w="0" w:type="dxa"/>
        </w:tblCellMar>
        <w:tblLook w:val="04A0"/>
      </w:tblPr>
      <w:tblGrid>
        <w:gridCol w:w="2337"/>
        <w:gridCol w:w="3422"/>
        <w:gridCol w:w="1192"/>
        <w:gridCol w:w="2294"/>
      </w:tblGrid>
      <w:tr w:rsidR="00AC4FC8" w:rsidRPr="00AC4FC8" w:rsidTr="00090A3C">
        <w:tc>
          <w:tcPr>
            <w:tcW w:w="2389" w:type="dxa"/>
            <w:tcMar>
              <w:top w:w="0" w:type="dxa"/>
              <w:left w:w="108" w:type="dxa"/>
              <w:bottom w:w="0" w:type="dxa"/>
              <w:right w:w="108" w:type="dxa"/>
            </w:tcMar>
            <w:vAlign w:val="bottom"/>
            <w:hideMark/>
          </w:tcPr>
          <w:p w:rsidR="00AC4FC8" w:rsidRPr="00AC4FC8" w:rsidRDefault="00AC4FC8" w:rsidP="00090A3C">
            <w:pPr>
              <w:spacing w:before="240" w:after="200" w:line="276" w:lineRule="auto"/>
              <w:jc w:val="both"/>
              <w:rPr>
                <w:rFonts w:ascii="Arial" w:hAnsi="Arial" w:cs="Arial"/>
                <w:b/>
                <w:bCs/>
              </w:rPr>
            </w:pPr>
            <w:r w:rsidRPr="00AC4FC8">
              <w:rPr>
                <w:rFonts w:ascii="Arial" w:hAnsi="Arial" w:cs="Arial"/>
                <w:b/>
                <w:bCs/>
              </w:rPr>
              <w:t>Signature:</w:t>
            </w:r>
          </w:p>
        </w:tc>
        <w:tc>
          <w:tcPr>
            <w:tcW w:w="3569" w:type="dxa"/>
            <w:tcBorders>
              <w:top w:val="nil"/>
              <w:left w:val="nil"/>
              <w:bottom w:val="single" w:sz="8" w:space="0" w:color="auto"/>
              <w:right w:val="nil"/>
            </w:tcBorders>
            <w:tcMar>
              <w:top w:w="0" w:type="dxa"/>
              <w:left w:w="108" w:type="dxa"/>
              <w:bottom w:w="0" w:type="dxa"/>
              <w:right w:w="108" w:type="dxa"/>
            </w:tcMar>
            <w:vAlign w:val="bottom"/>
          </w:tcPr>
          <w:p w:rsidR="00AC4FC8" w:rsidRPr="00AC4FC8" w:rsidRDefault="00AC4FC8" w:rsidP="00090A3C">
            <w:pPr>
              <w:spacing w:before="240" w:after="200" w:line="276" w:lineRule="auto"/>
              <w:jc w:val="both"/>
              <w:rPr>
                <w:rFonts w:ascii="Arial" w:hAnsi="Arial" w:cs="Arial"/>
                <w:b/>
                <w:bCs/>
              </w:rPr>
            </w:pPr>
          </w:p>
        </w:tc>
        <w:tc>
          <w:tcPr>
            <w:tcW w:w="1210" w:type="dxa"/>
            <w:tcMar>
              <w:top w:w="0" w:type="dxa"/>
              <w:left w:w="108" w:type="dxa"/>
              <w:bottom w:w="0" w:type="dxa"/>
              <w:right w:w="108" w:type="dxa"/>
            </w:tcMar>
            <w:vAlign w:val="bottom"/>
            <w:hideMark/>
          </w:tcPr>
          <w:p w:rsidR="00AC4FC8" w:rsidRPr="00AC4FC8" w:rsidRDefault="00AC4FC8" w:rsidP="00090A3C">
            <w:pPr>
              <w:spacing w:before="240" w:after="200" w:line="276" w:lineRule="auto"/>
              <w:jc w:val="both"/>
              <w:rPr>
                <w:rFonts w:ascii="Arial" w:hAnsi="Arial" w:cs="Arial"/>
                <w:b/>
                <w:bCs/>
              </w:rPr>
            </w:pPr>
            <w:r w:rsidRPr="00AC4FC8">
              <w:rPr>
                <w:rFonts w:ascii="Arial" w:hAnsi="Arial" w:cs="Arial"/>
                <w:b/>
                <w:bCs/>
              </w:rPr>
              <w:t>Date:</w:t>
            </w:r>
          </w:p>
        </w:tc>
        <w:tc>
          <w:tcPr>
            <w:tcW w:w="2390" w:type="dxa"/>
            <w:tcBorders>
              <w:top w:val="nil"/>
              <w:left w:val="nil"/>
              <w:bottom w:val="single" w:sz="8" w:space="0" w:color="auto"/>
              <w:right w:val="nil"/>
            </w:tcBorders>
            <w:tcMar>
              <w:top w:w="0" w:type="dxa"/>
              <w:left w:w="108" w:type="dxa"/>
              <w:bottom w:w="0" w:type="dxa"/>
              <w:right w:w="108" w:type="dxa"/>
            </w:tcMar>
            <w:vAlign w:val="bottom"/>
          </w:tcPr>
          <w:p w:rsidR="00AC4FC8" w:rsidRPr="00AC4FC8" w:rsidRDefault="00AC4FC8" w:rsidP="00090A3C">
            <w:pPr>
              <w:spacing w:before="240" w:after="200" w:line="276" w:lineRule="auto"/>
              <w:jc w:val="both"/>
              <w:rPr>
                <w:rFonts w:ascii="Arial" w:hAnsi="Arial" w:cs="Arial"/>
                <w:b/>
                <w:bCs/>
              </w:rPr>
            </w:pPr>
          </w:p>
        </w:tc>
      </w:tr>
      <w:tr w:rsidR="00AC4FC8" w:rsidRPr="00AC4FC8" w:rsidTr="00090A3C">
        <w:tc>
          <w:tcPr>
            <w:tcW w:w="2389" w:type="dxa"/>
            <w:tcMar>
              <w:top w:w="0" w:type="dxa"/>
              <w:left w:w="108" w:type="dxa"/>
              <w:bottom w:w="0" w:type="dxa"/>
              <w:right w:w="108" w:type="dxa"/>
            </w:tcMar>
            <w:vAlign w:val="bottom"/>
            <w:hideMark/>
          </w:tcPr>
          <w:p w:rsidR="00AC4FC8" w:rsidRPr="00AC4FC8" w:rsidRDefault="00AC4FC8" w:rsidP="00090A3C">
            <w:pPr>
              <w:spacing w:before="240" w:after="200" w:line="276" w:lineRule="auto"/>
              <w:jc w:val="both"/>
              <w:rPr>
                <w:rFonts w:ascii="Arial" w:hAnsi="Arial" w:cs="Arial"/>
                <w:b/>
                <w:bCs/>
              </w:rPr>
            </w:pPr>
            <w:r w:rsidRPr="00AC4FC8">
              <w:rPr>
                <w:rFonts w:ascii="Arial" w:hAnsi="Arial" w:cs="Arial"/>
                <w:b/>
                <w:bCs/>
              </w:rPr>
              <w:t xml:space="preserve">Client Name : </w:t>
            </w:r>
          </w:p>
        </w:tc>
        <w:tc>
          <w:tcPr>
            <w:tcW w:w="3569" w:type="dxa"/>
            <w:tcBorders>
              <w:top w:val="nil"/>
              <w:left w:val="nil"/>
              <w:bottom w:val="single" w:sz="8" w:space="0" w:color="auto"/>
              <w:right w:val="nil"/>
            </w:tcBorders>
            <w:tcMar>
              <w:top w:w="0" w:type="dxa"/>
              <w:left w:w="108" w:type="dxa"/>
              <w:bottom w:w="0" w:type="dxa"/>
              <w:right w:w="108" w:type="dxa"/>
            </w:tcMar>
            <w:vAlign w:val="bottom"/>
          </w:tcPr>
          <w:p w:rsidR="00AC4FC8" w:rsidRPr="00AC4FC8" w:rsidRDefault="00AC4FC8" w:rsidP="00090A3C">
            <w:pPr>
              <w:spacing w:before="240" w:after="200" w:line="276" w:lineRule="auto"/>
              <w:jc w:val="both"/>
              <w:rPr>
                <w:rFonts w:ascii="Arial" w:hAnsi="Arial" w:cs="Arial"/>
                <w:b/>
                <w:bCs/>
              </w:rPr>
            </w:pPr>
          </w:p>
        </w:tc>
        <w:tc>
          <w:tcPr>
            <w:tcW w:w="1210" w:type="dxa"/>
            <w:tcMar>
              <w:top w:w="0" w:type="dxa"/>
              <w:left w:w="108" w:type="dxa"/>
              <w:bottom w:w="0" w:type="dxa"/>
              <w:right w:w="108" w:type="dxa"/>
            </w:tcMar>
            <w:vAlign w:val="bottom"/>
            <w:hideMark/>
          </w:tcPr>
          <w:p w:rsidR="00AC4FC8" w:rsidRPr="00AC4FC8" w:rsidRDefault="00AC4FC8" w:rsidP="00090A3C">
            <w:pPr>
              <w:spacing w:before="240" w:after="200" w:line="276" w:lineRule="auto"/>
              <w:jc w:val="both"/>
              <w:rPr>
                <w:rFonts w:ascii="Arial" w:hAnsi="Arial" w:cs="Arial"/>
                <w:b/>
                <w:bCs/>
              </w:rPr>
            </w:pPr>
            <w:r w:rsidRPr="00AC4FC8">
              <w:rPr>
                <w:rFonts w:ascii="Arial" w:hAnsi="Arial" w:cs="Arial"/>
                <w:b/>
                <w:bCs/>
              </w:rPr>
              <w:t>Place:</w:t>
            </w:r>
          </w:p>
        </w:tc>
        <w:tc>
          <w:tcPr>
            <w:tcW w:w="2390" w:type="dxa"/>
            <w:tcBorders>
              <w:top w:val="nil"/>
              <w:left w:val="nil"/>
              <w:bottom w:val="single" w:sz="8" w:space="0" w:color="auto"/>
              <w:right w:val="nil"/>
            </w:tcBorders>
            <w:tcMar>
              <w:top w:w="0" w:type="dxa"/>
              <w:left w:w="108" w:type="dxa"/>
              <w:bottom w:w="0" w:type="dxa"/>
              <w:right w:w="108" w:type="dxa"/>
            </w:tcMar>
            <w:vAlign w:val="bottom"/>
          </w:tcPr>
          <w:p w:rsidR="00AC4FC8" w:rsidRPr="00AC4FC8" w:rsidRDefault="00AC4FC8" w:rsidP="00090A3C">
            <w:pPr>
              <w:spacing w:before="240" w:after="200" w:line="276" w:lineRule="auto"/>
              <w:jc w:val="both"/>
              <w:rPr>
                <w:rFonts w:ascii="Arial" w:hAnsi="Arial" w:cs="Arial"/>
                <w:b/>
                <w:bCs/>
              </w:rPr>
            </w:pPr>
          </w:p>
        </w:tc>
      </w:tr>
    </w:tbl>
    <w:p w:rsidR="00AC4FC8" w:rsidRPr="00AC4FC8" w:rsidRDefault="00AC4FC8" w:rsidP="00AC4FC8">
      <w:pPr>
        <w:jc w:val="both"/>
        <w:rPr>
          <w:rFonts w:ascii="Arial" w:hAnsi="Arial" w:cs="Arial"/>
          <w:u w:val="single"/>
        </w:rPr>
      </w:pPr>
    </w:p>
    <w:p w:rsidR="00AC4FC8" w:rsidRPr="00AC4FC8" w:rsidRDefault="00AC4FC8" w:rsidP="00AC4FC8">
      <w:pPr>
        <w:jc w:val="both"/>
        <w:rPr>
          <w:rFonts w:ascii="Arial" w:hAnsi="Arial" w:cs="Arial"/>
          <w:u w:val="double"/>
        </w:rPr>
      </w:pPr>
      <w:r w:rsidRPr="00AC4FC8">
        <w:rPr>
          <w:rFonts w:ascii="Arial" w:hAnsi="Arial" w:cs="Arial"/>
          <w:u w:val="double"/>
        </w:rPr>
        <w:t>___________________________________________________________________________</w:t>
      </w:r>
    </w:p>
    <w:p w:rsidR="00AC4FC8" w:rsidRPr="00AC4FC8" w:rsidRDefault="00AC4FC8" w:rsidP="00AC4FC8">
      <w:pPr>
        <w:jc w:val="both"/>
        <w:rPr>
          <w:rFonts w:ascii="Arial" w:hAnsi="Arial" w:cs="Arial"/>
          <w:u w:val="single"/>
        </w:rPr>
      </w:pPr>
    </w:p>
    <w:p w:rsidR="00AC4FC8" w:rsidRPr="00AC4FC8" w:rsidRDefault="00AC4FC8" w:rsidP="00AC4FC8">
      <w:pPr>
        <w:jc w:val="both"/>
        <w:rPr>
          <w:rFonts w:ascii="Arial" w:hAnsi="Arial" w:cs="Arial"/>
          <w:u w:val="single"/>
        </w:rPr>
      </w:pPr>
      <w:r w:rsidRPr="00AC4FC8">
        <w:rPr>
          <w:rFonts w:ascii="Arial" w:hAnsi="Arial" w:cs="Arial"/>
          <w:u w:val="single"/>
        </w:rPr>
        <w:t>FOR INTERNAL OFFICE USE ONLY</w:t>
      </w:r>
    </w:p>
    <w:p w:rsidR="00AC4FC8" w:rsidRPr="00AC4FC8" w:rsidRDefault="00AC4FC8" w:rsidP="00AC4FC8">
      <w:pPr>
        <w:jc w:val="both"/>
        <w:rPr>
          <w:rFonts w:ascii="Arial" w:hAnsi="Arial" w:cs="Arial"/>
        </w:rPr>
      </w:pPr>
      <w:r w:rsidRPr="00AC4FC8">
        <w:rPr>
          <w:rFonts w:ascii="Arial" w:hAnsi="Arial" w:cs="Arial"/>
        </w:rPr>
        <w:t>Verified By Company CODO:</w:t>
      </w:r>
    </w:p>
    <w:tbl>
      <w:tblPr>
        <w:tblW w:w="0" w:type="auto"/>
        <w:tblCellMar>
          <w:left w:w="0" w:type="dxa"/>
          <w:right w:w="0" w:type="dxa"/>
        </w:tblCellMar>
        <w:tblLook w:val="04A0"/>
      </w:tblPr>
      <w:tblGrid>
        <w:gridCol w:w="2329"/>
        <w:gridCol w:w="2287"/>
        <w:gridCol w:w="2342"/>
        <w:gridCol w:w="2287"/>
      </w:tblGrid>
      <w:tr w:rsidR="00AC4FC8" w:rsidRPr="00AC4FC8" w:rsidTr="00090A3C">
        <w:tc>
          <w:tcPr>
            <w:tcW w:w="2394" w:type="dxa"/>
            <w:tcMar>
              <w:top w:w="0" w:type="dxa"/>
              <w:left w:w="108" w:type="dxa"/>
              <w:bottom w:w="0" w:type="dxa"/>
              <w:right w:w="108" w:type="dxa"/>
            </w:tcMar>
            <w:vAlign w:val="center"/>
            <w:hideMark/>
          </w:tcPr>
          <w:p w:rsidR="00AC4FC8" w:rsidRPr="00AC4FC8" w:rsidRDefault="00AC4FC8" w:rsidP="00090A3C">
            <w:pPr>
              <w:spacing w:after="200" w:line="276" w:lineRule="auto"/>
              <w:jc w:val="both"/>
              <w:rPr>
                <w:rFonts w:ascii="Arial" w:hAnsi="Arial" w:cs="Arial"/>
              </w:rPr>
            </w:pPr>
            <w:r w:rsidRPr="00AC4FC8">
              <w:rPr>
                <w:rFonts w:ascii="Arial" w:hAnsi="Arial" w:cs="Arial"/>
              </w:rPr>
              <w:t>Name: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AC4FC8" w:rsidRPr="00AC4FC8" w:rsidRDefault="00AC4FC8" w:rsidP="00090A3C">
            <w:pPr>
              <w:spacing w:after="200" w:line="276" w:lineRule="auto"/>
              <w:jc w:val="both"/>
              <w:rPr>
                <w:rFonts w:ascii="Arial" w:hAnsi="Arial" w:cs="Arial"/>
              </w:rPr>
            </w:pPr>
          </w:p>
        </w:tc>
        <w:tc>
          <w:tcPr>
            <w:tcW w:w="2394" w:type="dxa"/>
            <w:tcMar>
              <w:top w:w="0" w:type="dxa"/>
              <w:left w:w="108" w:type="dxa"/>
              <w:bottom w:w="0" w:type="dxa"/>
              <w:right w:w="108" w:type="dxa"/>
            </w:tcMar>
            <w:vAlign w:val="center"/>
            <w:hideMark/>
          </w:tcPr>
          <w:p w:rsidR="00AC4FC8" w:rsidRPr="00AC4FC8" w:rsidRDefault="00AC4FC8" w:rsidP="00090A3C">
            <w:pPr>
              <w:spacing w:after="200" w:line="276" w:lineRule="auto"/>
              <w:jc w:val="both"/>
              <w:rPr>
                <w:rFonts w:ascii="Arial" w:hAnsi="Arial" w:cs="Arial"/>
              </w:rPr>
            </w:pPr>
            <w:r w:rsidRPr="00AC4FC8">
              <w:rPr>
                <w:rFonts w:ascii="Arial" w:hAnsi="Arial" w:cs="Arial"/>
              </w:rPr>
              <w:t>Designation:</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AC4FC8" w:rsidRPr="00AC4FC8" w:rsidRDefault="00AC4FC8" w:rsidP="00090A3C">
            <w:pPr>
              <w:spacing w:after="200" w:line="276" w:lineRule="auto"/>
              <w:jc w:val="both"/>
              <w:rPr>
                <w:rFonts w:ascii="Arial" w:hAnsi="Arial" w:cs="Arial"/>
              </w:rPr>
            </w:pPr>
          </w:p>
        </w:tc>
      </w:tr>
      <w:tr w:rsidR="00AC4FC8" w:rsidRPr="00AC4FC8" w:rsidTr="00090A3C">
        <w:tc>
          <w:tcPr>
            <w:tcW w:w="2394" w:type="dxa"/>
            <w:tcMar>
              <w:top w:w="0" w:type="dxa"/>
              <w:left w:w="108" w:type="dxa"/>
              <w:bottom w:w="0" w:type="dxa"/>
              <w:right w:w="108" w:type="dxa"/>
            </w:tcMar>
            <w:vAlign w:val="center"/>
            <w:hideMark/>
          </w:tcPr>
          <w:p w:rsidR="00AC4FC8" w:rsidRPr="00AC4FC8" w:rsidRDefault="00AC4FC8" w:rsidP="00090A3C">
            <w:pPr>
              <w:spacing w:after="200" w:line="276" w:lineRule="auto"/>
              <w:jc w:val="both"/>
              <w:rPr>
                <w:rFonts w:ascii="Arial" w:hAnsi="Arial" w:cs="Arial"/>
              </w:rPr>
            </w:pPr>
            <w:r w:rsidRPr="00AC4FC8">
              <w:rPr>
                <w:rFonts w:ascii="Arial" w:hAnsi="Arial" w:cs="Arial"/>
              </w:rPr>
              <w:t>Signature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AC4FC8" w:rsidRPr="00AC4FC8" w:rsidRDefault="00AC4FC8" w:rsidP="00090A3C">
            <w:pPr>
              <w:spacing w:after="200" w:line="276" w:lineRule="auto"/>
              <w:jc w:val="both"/>
              <w:rPr>
                <w:rFonts w:ascii="Arial" w:hAnsi="Arial" w:cs="Arial"/>
              </w:rPr>
            </w:pPr>
          </w:p>
        </w:tc>
        <w:tc>
          <w:tcPr>
            <w:tcW w:w="2394" w:type="dxa"/>
            <w:tcMar>
              <w:top w:w="0" w:type="dxa"/>
              <w:left w:w="108" w:type="dxa"/>
              <w:bottom w:w="0" w:type="dxa"/>
              <w:right w:w="108" w:type="dxa"/>
            </w:tcMar>
            <w:vAlign w:val="center"/>
            <w:hideMark/>
          </w:tcPr>
          <w:p w:rsidR="00AC4FC8" w:rsidRPr="00AC4FC8" w:rsidRDefault="00AC4FC8" w:rsidP="00090A3C">
            <w:pPr>
              <w:spacing w:after="200" w:line="276" w:lineRule="auto"/>
              <w:jc w:val="both"/>
              <w:rPr>
                <w:rFonts w:ascii="Arial" w:hAnsi="Arial" w:cs="Arial"/>
              </w:rPr>
            </w:pPr>
            <w:r w:rsidRPr="00AC4FC8">
              <w:rPr>
                <w:rFonts w:ascii="Arial" w:hAnsi="Arial" w:cs="Arial"/>
              </w:rPr>
              <w:t>Date: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AC4FC8" w:rsidRPr="00AC4FC8" w:rsidRDefault="00AC4FC8" w:rsidP="00090A3C">
            <w:pPr>
              <w:spacing w:after="200" w:line="276" w:lineRule="auto"/>
              <w:jc w:val="both"/>
              <w:rPr>
                <w:rFonts w:ascii="Arial" w:hAnsi="Arial" w:cs="Arial"/>
              </w:rPr>
            </w:pPr>
          </w:p>
        </w:tc>
      </w:tr>
    </w:tbl>
    <w:p w:rsidR="00AC4FC8" w:rsidRPr="00DC2755" w:rsidRDefault="00AC4FC8" w:rsidP="00AC4FC8">
      <w:pPr>
        <w:jc w:val="both"/>
        <w:rPr>
          <w:rFonts w:ascii="Arial" w:hAnsi="Arial" w:cs="Arial"/>
          <w:sz w:val="22"/>
          <w:szCs w:val="22"/>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sectPr w:rsidR="004D2113" w:rsidSect="00C97ED8">
      <w:headerReference w:type="default" r:id="rId8"/>
      <w:footerReference w:type="even" r:id="rId9"/>
      <w:footerReference w:type="default" r:id="rId10"/>
      <w:headerReference w:type="first" r:id="rId11"/>
      <w:footerReference w:type="first" r:id="rId12"/>
      <w:type w:val="continuous"/>
      <w:pgSz w:w="11909" w:h="16834" w:code="9"/>
      <w:pgMar w:top="1620" w:right="1440" w:bottom="1440" w:left="1440" w:header="0" w:footer="4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27" w:rsidRDefault="001C0727">
      <w:r>
        <w:separator/>
      </w:r>
    </w:p>
  </w:endnote>
  <w:endnote w:type="continuationSeparator" w:id="0">
    <w:p w:rsidR="001C0727" w:rsidRDefault="001C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HILAN+Century725BdCnBT">
    <w:altName w:val="Times New Roman"/>
    <w:panose1 w:val="00000000000000000000"/>
    <w:charset w:val="00"/>
    <w:family w:val="roman"/>
    <w:notTrueType/>
    <w:pitch w:val="default"/>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LAKGC E+ Century 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F81B34">
    <w:pPr>
      <w:pStyle w:val="Footer"/>
      <w:framePr w:wrap="around" w:vAnchor="text" w:hAnchor="margin" w:xAlign="right" w:y="1"/>
      <w:rPr>
        <w:rStyle w:val="PageNumber"/>
      </w:rPr>
    </w:pPr>
    <w:r>
      <w:rPr>
        <w:rStyle w:val="PageNumber"/>
      </w:rPr>
      <w:fldChar w:fldCharType="begin"/>
    </w:r>
    <w:r w:rsidR="000D0925">
      <w:rPr>
        <w:rStyle w:val="PageNumber"/>
      </w:rPr>
      <w:instrText xml:space="preserve">PAGE  </w:instrText>
    </w:r>
    <w:r>
      <w:rPr>
        <w:rStyle w:val="PageNumber"/>
      </w:rPr>
      <w:fldChar w:fldCharType="end"/>
    </w:r>
  </w:p>
  <w:p w:rsidR="000D0925" w:rsidRDefault="000D09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Footer"/>
      <w:framePr w:wrap="around" w:vAnchor="text" w:hAnchor="margin" w:xAlign="right" w:y="1"/>
      <w:rPr>
        <w:rStyle w:val="PageNumber"/>
        <w:rFonts w:ascii="Arial" w:hAnsi="Arial" w:cs="Arial"/>
        <w:sz w:val="18"/>
      </w:rPr>
    </w:pPr>
  </w:p>
  <w:p w:rsidR="000D0925" w:rsidRDefault="00F81B34">
    <w:pPr>
      <w:pStyle w:val="Footer"/>
      <w:ind w:right="360"/>
    </w:pPr>
    <w:r w:rsidRPr="00F81B34">
      <w:rPr>
        <w:rFonts w:ascii="Arial" w:hAnsi="Arial" w:cs="Arial"/>
        <w:bCs/>
        <w:noProof/>
        <w:lang w:val="en-US"/>
      </w:rPr>
      <w:pict>
        <v:shapetype id="_x0000_t202" coordsize="21600,21600" o:spt="202" path="m,l,21600r21600,l21600,xe">
          <v:stroke joinstyle="miter"/>
          <v:path gradientshapeok="t" o:connecttype="rect"/>
        </v:shapetype>
        <v:shape id="Text Box 8" o:spid="_x0000_s2049" type="#_x0000_t202" style="position:absolute;margin-left:421.05pt;margin-top:-2.4pt;width:3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" filled="f" fillcolor="black" stroked="f">
          <v:textbox>
            <w:txbxContent>
              <w:p w:rsidR="000D0925" w:rsidRDefault="00F81B34">
                <w:r>
                  <w:rPr>
                    <w:rStyle w:val="PageNumber"/>
                  </w:rPr>
                  <w:fldChar w:fldCharType="begin"/>
                </w:r>
                <w:r w:rsidR="000D0925">
                  <w:rPr>
                    <w:rStyle w:val="PageNumber"/>
                  </w:rPr>
                  <w:instrText xml:space="preserve"> PAGE </w:instrText>
                </w:r>
                <w:r>
                  <w:rPr>
                    <w:rStyle w:val="PageNumber"/>
                  </w:rPr>
                  <w:fldChar w:fldCharType="separate"/>
                </w:r>
                <w:r w:rsidR="00C97ED8">
                  <w:rPr>
                    <w:rStyle w:val="PageNumber"/>
                    <w:noProof/>
                  </w:rPr>
                  <w:t>4</w:t>
                </w:r>
                <w:r>
                  <w:rPr>
                    <w:rStyle w:val="PageNumber"/>
                  </w:rPr>
                  <w:fldChar w:fldCharType="end"/>
                </w:r>
              </w:p>
            </w:txbxContent>
          </v:textbox>
        </v:shape>
      </w:pict>
    </w:r>
    <w:r w:rsidR="000D0925">
      <w:rPr>
        <w:rFonts w:ascii="Arial" w:hAnsi="Arial" w:cs="Arial"/>
        <w:bCs/>
      </w:rPr>
      <w:t xml:space="preserve">© Dubai Gold &amp; Commodities Exchange                                                                      </w:t>
    </w:r>
    <w:r w:rsidR="000D0925">
      <w:rPr>
        <w:rFonts w:ascii="Arial" w:hAnsi="Arial" w:cs="Arial"/>
        <w:bCs/>
      </w:rPr>
      <w:tab/>
      <w:t xml:space="preserve">                                                                           </w:t>
    </w:r>
  </w:p>
  <w:p w:rsidR="000D0925" w:rsidRDefault="000D0925">
    <w:pPr>
      <w:pStyle w:val="Footer"/>
      <w:rPr>
        <w:b/>
      </w:rPr>
    </w:pPr>
  </w:p>
  <w:p w:rsidR="000D0925" w:rsidRDefault="000D09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Footer"/>
      <w:rPr>
        <w:rFonts w:ascii="Arial" w:hAnsi="Arial" w:cs="Arial"/>
        <w:bCs/>
      </w:rPr>
    </w:pPr>
    <w:r>
      <w:rPr>
        <w:rFonts w:ascii="Arial" w:hAnsi="Arial" w:cs="Arial"/>
        <w:bCs/>
      </w:rPr>
      <w:t xml:space="preserve">© Dubai Gold &amp; Commodities Exchange                                                                                             </w:t>
    </w:r>
    <w:r>
      <w:rPr>
        <w:rFonts w:ascii="Arial" w:hAnsi="Arial" w:cs="Arial"/>
        <w:bCs/>
        <w:color w:val="000000"/>
      </w:rPr>
      <w:t xml:space="preserve"> </w:t>
    </w:r>
    <w:r w:rsidR="00F81B34">
      <w:rPr>
        <w:rStyle w:val="PageNumber"/>
        <w:rFonts w:ascii="Arial" w:hAnsi="Arial" w:cs="Arial"/>
        <w:bCs/>
        <w:color w:val="000000"/>
      </w:rPr>
      <w:fldChar w:fldCharType="begin"/>
    </w:r>
    <w:r>
      <w:rPr>
        <w:rStyle w:val="PageNumber"/>
        <w:rFonts w:ascii="Arial" w:hAnsi="Arial" w:cs="Arial"/>
        <w:bCs/>
        <w:color w:val="000000"/>
      </w:rPr>
      <w:instrText xml:space="preserve"> PAGE </w:instrText>
    </w:r>
    <w:r w:rsidR="00F81B34">
      <w:rPr>
        <w:rStyle w:val="PageNumber"/>
        <w:rFonts w:ascii="Arial" w:hAnsi="Arial" w:cs="Arial"/>
        <w:bCs/>
        <w:color w:val="000000"/>
      </w:rPr>
      <w:fldChar w:fldCharType="separate"/>
    </w:r>
    <w:r w:rsidR="00C97ED8">
      <w:rPr>
        <w:rStyle w:val="PageNumber"/>
        <w:rFonts w:ascii="Arial" w:hAnsi="Arial" w:cs="Arial"/>
        <w:bCs/>
        <w:noProof/>
        <w:color w:val="000000"/>
      </w:rPr>
      <w:t>1</w:t>
    </w:r>
    <w:r w:rsidR="00F81B34">
      <w:rPr>
        <w:rStyle w:val="PageNumber"/>
        <w:rFonts w:ascii="Arial" w:hAnsi="Arial" w:cs="Arial"/>
        <w:bCs/>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27" w:rsidRDefault="001C0727">
      <w:r>
        <w:separator/>
      </w:r>
    </w:p>
  </w:footnote>
  <w:footnote w:type="continuationSeparator" w:id="0">
    <w:p w:rsidR="001C0727" w:rsidRDefault="001C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CM12"/>
      <w:spacing w:after="0" w:line="360" w:lineRule="auto"/>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22"/>
      <w:gridCol w:w="4623"/>
    </w:tblGrid>
    <w:tr w:rsidR="000D0925">
      <w:tc>
        <w:tcPr>
          <w:tcW w:w="4622" w:type="dxa"/>
        </w:tcPr>
        <w:p w:rsidR="000D0925" w:rsidRDefault="000D0925">
          <w:pPr>
            <w:pStyle w:val="Header"/>
          </w:pPr>
        </w:p>
      </w:tc>
      <w:tc>
        <w:tcPr>
          <w:tcW w:w="4623" w:type="dxa"/>
        </w:tcPr>
        <w:p w:rsidR="000D0925" w:rsidRDefault="000D0925">
          <w:pPr>
            <w:pStyle w:val="Header"/>
            <w:jc w:val="right"/>
          </w:pPr>
        </w:p>
      </w:tc>
    </w:tr>
  </w:tbl>
  <w:p w:rsidR="000D0925" w:rsidRDefault="00C432BA" w:rsidP="00C432BA">
    <w:pPr>
      <w:pStyle w:val="Header"/>
      <w:jc w:val="center"/>
    </w:pPr>
    <w:r>
      <w:rPr>
        <w:noProof/>
        <w:lang w:val="en-US"/>
      </w:rPr>
      <w:drawing>
        <wp:anchor distT="0" distB="0" distL="114300" distR="114300" simplePos="0" relativeHeight="251660288" behindDoc="1" locked="0" layoutInCell="1" allowOverlap="1">
          <wp:simplePos x="0" y="0"/>
          <wp:positionH relativeFrom="column">
            <wp:posOffset>1428750</wp:posOffset>
          </wp:positionH>
          <wp:positionV relativeFrom="paragraph">
            <wp:posOffset>6985</wp:posOffset>
          </wp:positionV>
          <wp:extent cx="2867025" cy="1066800"/>
          <wp:effectExtent l="19050" t="0" r="9525" b="0"/>
          <wp:wrapNone/>
          <wp:docPr id="11" name="Picture 11" descr="C:\Users\MadyanJ\Desktop\DGCX Logo\DGC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dyanJ\Desktop\DGCX Logo\DGCX logo..jpg"/>
                  <pic:cNvPicPr>
                    <a:picLocks noChangeAspect="1" noChangeArrowheads="1"/>
                  </pic:cNvPicPr>
                </pic:nvPicPr>
                <pic:blipFill>
                  <a:blip r:embed="rId1"/>
                  <a:srcRect/>
                  <a:stretch>
                    <a:fillRect/>
                  </a:stretch>
                </pic:blipFill>
                <pic:spPr bwMode="auto">
                  <a:xfrm>
                    <a:off x="0" y="0"/>
                    <a:ext cx="2867025"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7"/>
      </v:shape>
    </w:pict>
  </w:numPicBullet>
  <w:abstractNum w:abstractNumId="0">
    <w:nsid w:val="02BA592F"/>
    <w:multiLevelType w:val="hybridMultilevel"/>
    <w:tmpl w:val="45A6724E"/>
    <w:lvl w:ilvl="0" w:tplc="D9CC1DEA">
      <w:start w:val="1"/>
      <w:numFmt w:val="lowerLetter"/>
      <w:lvlText w:val="(%1)"/>
      <w:lvlJc w:val="left"/>
      <w:pPr>
        <w:tabs>
          <w:tab w:val="num" w:pos="1080"/>
        </w:tabs>
        <w:ind w:left="1080" w:hanging="360"/>
      </w:pPr>
      <w:rPr>
        <w:rFonts w:hint="default"/>
      </w:rPr>
    </w:lvl>
    <w:lvl w:ilvl="1" w:tplc="8F2867A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87F22"/>
    <w:multiLevelType w:val="hybridMultilevel"/>
    <w:tmpl w:val="23AA83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4B24C8D"/>
    <w:multiLevelType w:val="hybridMultilevel"/>
    <w:tmpl w:val="4512386C"/>
    <w:lvl w:ilvl="0" w:tplc="EBC0BCD8">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04B300C4"/>
    <w:multiLevelType w:val="hybridMultilevel"/>
    <w:tmpl w:val="4D38CE8C"/>
    <w:lvl w:ilvl="0" w:tplc="B2C27084">
      <w:start w:val="1"/>
      <w:numFmt w:val="lowerLetter"/>
      <w:lvlText w:val="(%1)"/>
      <w:lvlJc w:val="left"/>
      <w:pPr>
        <w:tabs>
          <w:tab w:val="num" w:pos="1080"/>
        </w:tabs>
        <w:ind w:left="1080" w:hanging="360"/>
      </w:pPr>
      <w:rPr>
        <w:rFonts w:hint="default"/>
      </w:rPr>
    </w:lvl>
    <w:lvl w:ilvl="1" w:tplc="4E300F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A954EC"/>
    <w:multiLevelType w:val="hybridMultilevel"/>
    <w:tmpl w:val="679A029E"/>
    <w:lvl w:ilvl="0" w:tplc="4F32B9DE">
      <w:start w:val="1"/>
      <w:numFmt w:val="lowerRoman"/>
      <w:lvlText w:val="(%1)"/>
      <w:lvlJc w:val="left"/>
      <w:pPr>
        <w:tabs>
          <w:tab w:val="num" w:pos="1080"/>
        </w:tabs>
        <w:ind w:left="1080" w:hanging="360"/>
      </w:pPr>
      <w:rPr>
        <w:rFonts w:hint="default"/>
      </w:rPr>
    </w:lvl>
    <w:lvl w:ilvl="1" w:tplc="E26E2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C19B5"/>
    <w:multiLevelType w:val="hybridMultilevel"/>
    <w:tmpl w:val="0412A25E"/>
    <w:lvl w:ilvl="0" w:tplc="E93AF2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12667"/>
    <w:multiLevelType w:val="hybridMultilevel"/>
    <w:tmpl w:val="03E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4248C"/>
    <w:multiLevelType w:val="singleLevel"/>
    <w:tmpl w:val="4E54795A"/>
    <w:lvl w:ilvl="0">
      <w:start w:val="1"/>
      <w:numFmt w:val="lowerLetter"/>
      <w:lvlText w:val="(%1)"/>
      <w:lvlJc w:val="left"/>
      <w:pPr>
        <w:tabs>
          <w:tab w:val="num" w:pos="720"/>
        </w:tabs>
        <w:ind w:left="720" w:hanging="720"/>
      </w:pPr>
      <w:rPr>
        <w:rFonts w:hint="default"/>
      </w:rPr>
    </w:lvl>
  </w:abstractNum>
  <w:abstractNum w:abstractNumId="8">
    <w:nsid w:val="148D1B50"/>
    <w:multiLevelType w:val="multilevel"/>
    <w:tmpl w:val="013E24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29B1A2D"/>
    <w:multiLevelType w:val="hybridMultilevel"/>
    <w:tmpl w:val="8782220C"/>
    <w:lvl w:ilvl="0" w:tplc="D7380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DB5A50"/>
    <w:multiLevelType w:val="hybridMultilevel"/>
    <w:tmpl w:val="E174B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B2746"/>
    <w:multiLevelType w:val="hybridMultilevel"/>
    <w:tmpl w:val="454CC8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AF03C2C"/>
    <w:multiLevelType w:val="hybridMultilevel"/>
    <w:tmpl w:val="5DDAFA52"/>
    <w:lvl w:ilvl="0" w:tplc="6554D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FC1837"/>
    <w:multiLevelType w:val="hybridMultilevel"/>
    <w:tmpl w:val="614E7718"/>
    <w:lvl w:ilvl="0" w:tplc="B2C27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29759A"/>
    <w:multiLevelType w:val="multilevel"/>
    <w:tmpl w:val="75246D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23A7DA4"/>
    <w:multiLevelType w:val="hybridMultilevel"/>
    <w:tmpl w:val="B2107D72"/>
    <w:name w:val="AOGen2"/>
    <w:lvl w:ilvl="0" w:tplc="A8CAEB2E">
      <w:start w:val="1"/>
      <w:numFmt w:val="lowerLetter"/>
      <w:lvlText w:val="(%1)"/>
      <w:lvlJc w:val="left"/>
      <w:pPr>
        <w:tabs>
          <w:tab w:val="num" w:pos="720"/>
        </w:tabs>
        <w:ind w:left="720" w:hanging="360"/>
      </w:pPr>
      <w:rPr>
        <w:rFonts w:hint="default"/>
      </w:rPr>
    </w:lvl>
    <w:lvl w:ilvl="1" w:tplc="E3667108" w:tentative="1">
      <w:start w:val="1"/>
      <w:numFmt w:val="lowerLetter"/>
      <w:lvlText w:val="%2."/>
      <w:lvlJc w:val="left"/>
      <w:pPr>
        <w:tabs>
          <w:tab w:val="num" w:pos="360"/>
        </w:tabs>
        <w:ind w:left="360" w:hanging="360"/>
      </w:pPr>
    </w:lvl>
    <w:lvl w:ilvl="2" w:tplc="CE0AE622" w:tentative="1">
      <w:start w:val="1"/>
      <w:numFmt w:val="lowerRoman"/>
      <w:lvlText w:val="%3."/>
      <w:lvlJc w:val="right"/>
      <w:pPr>
        <w:tabs>
          <w:tab w:val="num" w:pos="1080"/>
        </w:tabs>
        <w:ind w:left="1080" w:hanging="180"/>
      </w:pPr>
    </w:lvl>
    <w:lvl w:ilvl="3" w:tplc="5470ACBE" w:tentative="1">
      <w:start w:val="1"/>
      <w:numFmt w:val="decimal"/>
      <w:lvlText w:val="%4."/>
      <w:lvlJc w:val="left"/>
      <w:pPr>
        <w:tabs>
          <w:tab w:val="num" w:pos="1800"/>
        </w:tabs>
        <w:ind w:left="1800" w:hanging="360"/>
      </w:pPr>
    </w:lvl>
    <w:lvl w:ilvl="4" w:tplc="7E3AF21A" w:tentative="1">
      <w:start w:val="1"/>
      <w:numFmt w:val="lowerLetter"/>
      <w:lvlText w:val="%5."/>
      <w:lvlJc w:val="left"/>
      <w:pPr>
        <w:tabs>
          <w:tab w:val="num" w:pos="2520"/>
        </w:tabs>
        <w:ind w:left="2520" w:hanging="360"/>
      </w:pPr>
    </w:lvl>
    <w:lvl w:ilvl="5" w:tplc="542EE2E0" w:tentative="1">
      <w:start w:val="1"/>
      <w:numFmt w:val="lowerRoman"/>
      <w:lvlText w:val="%6."/>
      <w:lvlJc w:val="right"/>
      <w:pPr>
        <w:tabs>
          <w:tab w:val="num" w:pos="3240"/>
        </w:tabs>
        <w:ind w:left="3240" w:hanging="180"/>
      </w:pPr>
    </w:lvl>
    <w:lvl w:ilvl="6" w:tplc="33221ADC" w:tentative="1">
      <w:start w:val="1"/>
      <w:numFmt w:val="decimal"/>
      <w:lvlText w:val="%7."/>
      <w:lvlJc w:val="left"/>
      <w:pPr>
        <w:tabs>
          <w:tab w:val="num" w:pos="3960"/>
        </w:tabs>
        <w:ind w:left="3960" w:hanging="360"/>
      </w:pPr>
    </w:lvl>
    <w:lvl w:ilvl="7" w:tplc="CC0ED50A" w:tentative="1">
      <w:start w:val="1"/>
      <w:numFmt w:val="lowerLetter"/>
      <w:lvlText w:val="%8."/>
      <w:lvlJc w:val="left"/>
      <w:pPr>
        <w:tabs>
          <w:tab w:val="num" w:pos="4680"/>
        </w:tabs>
        <w:ind w:left="4680" w:hanging="360"/>
      </w:pPr>
    </w:lvl>
    <w:lvl w:ilvl="8" w:tplc="9514CA36" w:tentative="1">
      <w:start w:val="1"/>
      <w:numFmt w:val="lowerRoman"/>
      <w:lvlText w:val="%9."/>
      <w:lvlJc w:val="right"/>
      <w:pPr>
        <w:tabs>
          <w:tab w:val="num" w:pos="5400"/>
        </w:tabs>
        <w:ind w:left="5400" w:hanging="180"/>
      </w:pPr>
    </w:lvl>
  </w:abstractNum>
  <w:abstractNum w:abstractNumId="16">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nsid w:val="47B238E7"/>
    <w:multiLevelType w:val="multilevel"/>
    <w:tmpl w:val="B9F6B264"/>
    <w:name w:val="AODo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7BC4408"/>
    <w:multiLevelType w:val="hybridMultilevel"/>
    <w:tmpl w:val="2E60601A"/>
    <w:name w:val="AOGen3"/>
    <w:lvl w:ilvl="0" w:tplc="E1842690">
      <w:start w:val="1"/>
      <w:numFmt w:val="decimal"/>
      <w:lvlText w:val="%1."/>
      <w:lvlJc w:val="left"/>
      <w:pPr>
        <w:tabs>
          <w:tab w:val="num" w:pos="-1080"/>
        </w:tabs>
        <w:ind w:left="-1080" w:hanging="360"/>
      </w:pPr>
      <w:rPr>
        <w:rFonts w:hint="default"/>
      </w:rPr>
    </w:lvl>
    <w:lvl w:ilvl="1" w:tplc="E00CD210" w:tentative="1">
      <w:start w:val="1"/>
      <w:numFmt w:val="bullet"/>
      <w:lvlText w:val="o"/>
      <w:lvlJc w:val="left"/>
      <w:pPr>
        <w:tabs>
          <w:tab w:val="num" w:pos="0"/>
        </w:tabs>
        <w:ind w:left="0" w:hanging="360"/>
      </w:pPr>
      <w:rPr>
        <w:rFonts w:ascii="Courier New" w:hAnsi="Courier New" w:cs="Courier New" w:hint="default"/>
      </w:rPr>
    </w:lvl>
    <w:lvl w:ilvl="2" w:tplc="553EA5F8" w:tentative="1">
      <w:start w:val="1"/>
      <w:numFmt w:val="bullet"/>
      <w:lvlText w:val=""/>
      <w:lvlJc w:val="left"/>
      <w:pPr>
        <w:tabs>
          <w:tab w:val="num" w:pos="720"/>
        </w:tabs>
        <w:ind w:left="720" w:hanging="360"/>
      </w:pPr>
      <w:rPr>
        <w:rFonts w:ascii="Wingdings" w:hAnsi="Wingdings" w:hint="default"/>
      </w:rPr>
    </w:lvl>
    <w:lvl w:ilvl="3" w:tplc="A8D0A3F2" w:tentative="1">
      <w:start w:val="1"/>
      <w:numFmt w:val="bullet"/>
      <w:lvlText w:val=""/>
      <w:lvlJc w:val="left"/>
      <w:pPr>
        <w:tabs>
          <w:tab w:val="num" w:pos="1440"/>
        </w:tabs>
        <w:ind w:left="1440" w:hanging="360"/>
      </w:pPr>
      <w:rPr>
        <w:rFonts w:ascii="Symbol" w:hAnsi="Symbol" w:hint="default"/>
      </w:rPr>
    </w:lvl>
    <w:lvl w:ilvl="4" w:tplc="252ED4A8" w:tentative="1">
      <w:start w:val="1"/>
      <w:numFmt w:val="bullet"/>
      <w:lvlText w:val="o"/>
      <w:lvlJc w:val="left"/>
      <w:pPr>
        <w:tabs>
          <w:tab w:val="num" w:pos="2160"/>
        </w:tabs>
        <w:ind w:left="2160" w:hanging="360"/>
      </w:pPr>
      <w:rPr>
        <w:rFonts w:ascii="Courier New" w:hAnsi="Courier New" w:cs="Courier New" w:hint="default"/>
      </w:rPr>
    </w:lvl>
    <w:lvl w:ilvl="5" w:tplc="BF56CEAE" w:tentative="1">
      <w:start w:val="1"/>
      <w:numFmt w:val="bullet"/>
      <w:lvlText w:val=""/>
      <w:lvlJc w:val="left"/>
      <w:pPr>
        <w:tabs>
          <w:tab w:val="num" w:pos="2880"/>
        </w:tabs>
        <w:ind w:left="2880" w:hanging="360"/>
      </w:pPr>
      <w:rPr>
        <w:rFonts w:ascii="Wingdings" w:hAnsi="Wingdings" w:hint="default"/>
      </w:rPr>
    </w:lvl>
    <w:lvl w:ilvl="6" w:tplc="6DD4DD86" w:tentative="1">
      <w:start w:val="1"/>
      <w:numFmt w:val="bullet"/>
      <w:lvlText w:val=""/>
      <w:lvlJc w:val="left"/>
      <w:pPr>
        <w:tabs>
          <w:tab w:val="num" w:pos="3600"/>
        </w:tabs>
        <w:ind w:left="3600" w:hanging="360"/>
      </w:pPr>
      <w:rPr>
        <w:rFonts w:ascii="Symbol" w:hAnsi="Symbol" w:hint="default"/>
      </w:rPr>
    </w:lvl>
    <w:lvl w:ilvl="7" w:tplc="F07EA3F2" w:tentative="1">
      <w:start w:val="1"/>
      <w:numFmt w:val="bullet"/>
      <w:lvlText w:val="o"/>
      <w:lvlJc w:val="left"/>
      <w:pPr>
        <w:tabs>
          <w:tab w:val="num" w:pos="4320"/>
        </w:tabs>
        <w:ind w:left="4320" w:hanging="360"/>
      </w:pPr>
      <w:rPr>
        <w:rFonts w:ascii="Courier New" w:hAnsi="Courier New" w:cs="Courier New" w:hint="default"/>
      </w:rPr>
    </w:lvl>
    <w:lvl w:ilvl="8" w:tplc="1CD6C6E8" w:tentative="1">
      <w:start w:val="1"/>
      <w:numFmt w:val="bullet"/>
      <w:lvlText w:val=""/>
      <w:lvlJc w:val="left"/>
      <w:pPr>
        <w:tabs>
          <w:tab w:val="num" w:pos="5040"/>
        </w:tabs>
        <w:ind w:left="5040" w:hanging="360"/>
      </w:pPr>
      <w:rPr>
        <w:rFonts w:ascii="Wingdings" w:hAnsi="Wingdings" w:hint="default"/>
      </w:rPr>
    </w:lvl>
  </w:abstractNum>
  <w:abstractNum w:abstractNumId="19">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53A113AE"/>
    <w:multiLevelType w:val="hybridMultilevel"/>
    <w:tmpl w:val="43B86E92"/>
    <w:name w:val="AOHead"/>
    <w:lvl w:ilvl="0" w:tplc="07768EB2">
      <w:start w:val="1"/>
      <w:numFmt w:val="decimal"/>
      <w:lvlText w:val="%1."/>
      <w:lvlJc w:val="left"/>
      <w:pPr>
        <w:tabs>
          <w:tab w:val="num" w:pos="360"/>
        </w:tabs>
        <w:ind w:left="360" w:hanging="360"/>
      </w:pPr>
    </w:lvl>
    <w:lvl w:ilvl="1" w:tplc="C5D65888" w:tentative="1">
      <w:start w:val="1"/>
      <w:numFmt w:val="lowerLetter"/>
      <w:lvlText w:val="%2."/>
      <w:lvlJc w:val="left"/>
      <w:pPr>
        <w:tabs>
          <w:tab w:val="num" w:pos="1080"/>
        </w:tabs>
        <w:ind w:left="1080" w:hanging="360"/>
      </w:pPr>
    </w:lvl>
    <w:lvl w:ilvl="2" w:tplc="DFCC1904" w:tentative="1">
      <w:start w:val="1"/>
      <w:numFmt w:val="lowerRoman"/>
      <w:lvlText w:val="%3."/>
      <w:lvlJc w:val="right"/>
      <w:pPr>
        <w:tabs>
          <w:tab w:val="num" w:pos="1800"/>
        </w:tabs>
        <w:ind w:left="1800" w:hanging="180"/>
      </w:pPr>
    </w:lvl>
    <w:lvl w:ilvl="3" w:tplc="2298899A" w:tentative="1">
      <w:start w:val="1"/>
      <w:numFmt w:val="decimal"/>
      <w:lvlText w:val="%4."/>
      <w:lvlJc w:val="left"/>
      <w:pPr>
        <w:tabs>
          <w:tab w:val="num" w:pos="2520"/>
        </w:tabs>
        <w:ind w:left="2520" w:hanging="360"/>
      </w:pPr>
    </w:lvl>
    <w:lvl w:ilvl="4" w:tplc="507AC8BA" w:tentative="1">
      <w:start w:val="1"/>
      <w:numFmt w:val="lowerLetter"/>
      <w:lvlText w:val="%5."/>
      <w:lvlJc w:val="left"/>
      <w:pPr>
        <w:tabs>
          <w:tab w:val="num" w:pos="3240"/>
        </w:tabs>
        <w:ind w:left="3240" w:hanging="360"/>
      </w:pPr>
    </w:lvl>
    <w:lvl w:ilvl="5" w:tplc="2480CACE" w:tentative="1">
      <w:start w:val="1"/>
      <w:numFmt w:val="lowerRoman"/>
      <w:lvlText w:val="%6."/>
      <w:lvlJc w:val="right"/>
      <w:pPr>
        <w:tabs>
          <w:tab w:val="num" w:pos="3960"/>
        </w:tabs>
        <w:ind w:left="3960" w:hanging="180"/>
      </w:pPr>
    </w:lvl>
    <w:lvl w:ilvl="6" w:tplc="D402E486" w:tentative="1">
      <w:start w:val="1"/>
      <w:numFmt w:val="decimal"/>
      <w:lvlText w:val="%7."/>
      <w:lvlJc w:val="left"/>
      <w:pPr>
        <w:tabs>
          <w:tab w:val="num" w:pos="4680"/>
        </w:tabs>
        <w:ind w:left="4680" w:hanging="360"/>
      </w:pPr>
    </w:lvl>
    <w:lvl w:ilvl="7" w:tplc="8FC601DA" w:tentative="1">
      <w:start w:val="1"/>
      <w:numFmt w:val="lowerLetter"/>
      <w:lvlText w:val="%8."/>
      <w:lvlJc w:val="left"/>
      <w:pPr>
        <w:tabs>
          <w:tab w:val="num" w:pos="5400"/>
        </w:tabs>
        <w:ind w:left="5400" w:hanging="360"/>
      </w:pPr>
    </w:lvl>
    <w:lvl w:ilvl="8" w:tplc="40F42E7A" w:tentative="1">
      <w:start w:val="1"/>
      <w:numFmt w:val="lowerRoman"/>
      <w:lvlText w:val="%9."/>
      <w:lvlJc w:val="right"/>
      <w:pPr>
        <w:tabs>
          <w:tab w:val="num" w:pos="6120"/>
        </w:tabs>
        <w:ind w:left="6120" w:hanging="180"/>
      </w:pPr>
    </w:lvl>
  </w:abstractNum>
  <w:abstractNum w:abstractNumId="21">
    <w:nsid w:val="53A94F2C"/>
    <w:multiLevelType w:val="hybridMultilevel"/>
    <w:tmpl w:val="EBA60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3B63407"/>
    <w:multiLevelType w:val="hybridMultilevel"/>
    <w:tmpl w:val="141A7464"/>
    <w:lvl w:ilvl="0" w:tplc="BED8F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1F2CEC"/>
    <w:multiLevelType w:val="hybridMultilevel"/>
    <w:tmpl w:val="07FE01B8"/>
    <w:lvl w:ilvl="0" w:tplc="50B6A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07661BD"/>
    <w:multiLevelType w:val="hybridMultilevel"/>
    <w:tmpl w:val="B8CC1F1E"/>
    <w:lvl w:ilvl="0" w:tplc="13144D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6B1FD1"/>
    <w:multiLevelType w:val="singleLevel"/>
    <w:tmpl w:val="937EE4BC"/>
    <w:lvl w:ilvl="0">
      <w:start w:val="1"/>
      <w:numFmt w:val="lowerLetter"/>
      <w:lvlText w:val="(%1)"/>
      <w:lvlJc w:val="left"/>
      <w:pPr>
        <w:tabs>
          <w:tab w:val="num" w:pos="720"/>
        </w:tabs>
        <w:ind w:left="720" w:hanging="720"/>
      </w:pPr>
      <w:rPr>
        <w:rFonts w:hint="default"/>
      </w:rPr>
    </w:lvl>
  </w:abstractNum>
  <w:abstractNum w:abstractNumId="26">
    <w:nsid w:val="65C46A63"/>
    <w:multiLevelType w:val="hybridMultilevel"/>
    <w:tmpl w:val="76F4F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6831D4"/>
    <w:multiLevelType w:val="hybridMultilevel"/>
    <w:tmpl w:val="9F340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A935EE"/>
    <w:multiLevelType w:val="hybridMultilevel"/>
    <w:tmpl w:val="7800FEA4"/>
    <w:lvl w:ilvl="0" w:tplc="4E5479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04DAB"/>
    <w:multiLevelType w:val="hybridMultilevel"/>
    <w:tmpl w:val="AA8E8F3C"/>
    <w:lvl w:ilvl="0" w:tplc="AE6266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7"/>
  </w:num>
  <w:num w:numId="3">
    <w:abstractNumId w:val="19"/>
  </w:num>
  <w:num w:numId="4">
    <w:abstractNumId w:val="14"/>
  </w:num>
  <w:num w:numId="5">
    <w:abstractNumId w:val="7"/>
  </w:num>
  <w:num w:numId="6">
    <w:abstractNumId w:val="8"/>
  </w:num>
  <w:num w:numId="7">
    <w:abstractNumId w:val="25"/>
  </w:num>
  <w:num w:numId="8">
    <w:abstractNumId w:val="22"/>
  </w:num>
  <w:num w:numId="9">
    <w:abstractNumId w:val="3"/>
  </w:num>
  <w:num w:numId="10">
    <w:abstractNumId w:val="13"/>
  </w:num>
  <w:num w:numId="11">
    <w:abstractNumId w:val="2"/>
  </w:num>
  <w:num w:numId="12">
    <w:abstractNumId w:val="9"/>
  </w:num>
  <w:num w:numId="13">
    <w:abstractNumId w:val="0"/>
  </w:num>
  <w:num w:numId="14">
    <w:abstractNumId w:val="24"/>
  </w:num>
  <w:num w:numId="15">
    <w:abstractNumId w:val="4"/>
  </w:num>
  <w:num w:numId="16">
    <w:abstractNumId w:val="12"/>
  </w:num>
  <w:num w:numId="17">
    <w:abstractNumId w:val="23"/>
  </w:num>
  <w:num w:numId="18">
    <w:abstractNumId w:val="28"/>
  </w:num>
  <w:num w:numId="19">
    <w:abstractNumId w:val="6"/>
  </w:num>
  <w:num w:numId="20">
    <w:abstractNumId w:val="11"/>
  </w:num>
  <w:num w:numId="21">
    <w:abstractNumId w:val="1"/>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o:colormru v:ext="edit" colors="#b4985a"/>
    </o:shapedefaults>
    <o:shapelayout v:ext="edit">
      <o:idmap v:ext="edit" data="2"/>
    </o:shapelayout>
  </w:hdrShapeDefaults>
  <w:footnotePr>
    <w:footnote w:id="-1"/>
    <w:footnote w:id="0"/>
  </w:footnotePr>
  <w:endnotePr>
    <w:endnote w:id="-1"/>
    <w:endnote w:id="0"/>
  </w:endnotePr>
  <w:compat/>
  <w:rsids>
    <w:rsidRoot w:val="000D0925"/>
    <w:rsid w:val="000066DE"/>
    <w:rsid w:val="00045424"/>
    <w:rsid w:val="000D0925"/>
    <w:rsid w:val="000E0BE9"/>
    <w:rsid w:val="001C0727"/>
    <w:rsid w:val="002D654C"/>
    <w:rsid w:val="002F1E53"/>
    <w:rsid w:val="002F3F09"/>
    <w:rsid w:val="00320E19"/>
    <w:rsid w:val="00390C48"/>
    <w:rsid w:val="003A07B2"/>
    <w:rsid w:val="003A2D51"/>
    <w:rsid w:val="003A687B"/>
    <w:rsid w:val="003E31BA"/>
    <w:rsid w:val="00483166"/>
    <w:rsid w:val="004D2113"/>
    <w:rsid w:val="00522ECF"/>
    <w:rsid w:val="00546AF9"/>
    <w:rsid w:val="005B02BE"/>
    <w:rsid w:val="00650F52"/>
    <w:rsid w:val="0066675F"/>
    <w:rsid w:val="0070283B"/>
    <w:rsid w:val="007163D4"/>
    <w:rsid w:val="007D571C"/>
    <w:rsid w:val="008739DE"/>
    <w:rsid w:val="008F5473"/>
    <w:rsid w:val="009272AD"/>
    <w:rsid w:val="009E5BB0"/>
    <w:rsid w:val="00A366E1"/>
    <w:rsid w:val="00A50B1F"/>
    <w:rsid w:val="00A643BF"/>
    <w:rsid w:val="00AC4FC8"/>
    <w:rsid w:val="00AC5C52"/>
    <w:rsid w:val="00B14380"/>
    <w:rsid w:val="00B63421"/>
    <w:rsid w:val="00C050AA"/>
    <w:rsid w:val="00C432BA"/>
    <w:rsid w:val="00C65FE9"/>
    <w:rsid w:val="00C8693E"/>
    <w:rsid w:val="00C97ED8"/>
    <w:rsid w:val="00CB2D30"/>
    <w:rsid w:val="00E35A62"/>
    <w:rsid w:val="00E701AF"/>
    <w:rsid w:val="00E767F6"/>
    <w:rsid w:val="00EF5E3D"/>
    <w:rsid w:val="00F20730"/>
    <w:rsid w:val="00F32528"/>
    <w:rsid w:val="00F477FB"/>
    <w:rsid w:val="00F63A2F"/>
    <w:rsid w:val="00F81B34"/>
    <w:rsid w:val="00F9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b4985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1"/>
    <w:rPr>
      <w:lang w:val="en-GB"/>
    </w:rPr>
  </w:style>
  <w:style w:type="paragraph" w:styleId="Heading1">
    <w:name w:val="heading 1"/>
    <w:basedOn w:val="Normal"/>
    <w:next w:val="Normal"/>
    <w:qFormat/>
    <w:rsid w:val="00B63421"/>
    <w:pPr>
      <w:keepNext/>
      <w:autoSpaceDE w:val="0"/>
      <w:autoSpaceDN w:val="0"/>
      <w:adjustRightInd w:val="0"/>
      <w:jc w:val="both"/>
      <w:outlineLvl w:val="0"/>
    </w:pPr>
    <w:rPr>
      <w:rFonts w:ascii="Book Antiqua" w:hAnsi="Book Antiqua"/>
      <w:b/>
      <w:bCs/>
      <w:color w:val="0000FF"/>
      <w:sz w:val="22"/>
    </w:rPr>
  </w:style>
  <w:style w:type="paragraph" w:styleId="Heading2">
    <w:name w:val="heading 2"/>
    <w:basedOn w:val="Normal"/>
    <w:next w:val="Normal"/>
    <w:qFormat/>
    <w:rsid w:val="00B63421"/>
    <w:pPr>
      <w:keepNext/>
      <w:ind w:left="360"/>
      <w:jc w:val="both"/>
      <w:outlineLvl w:val="1"/>
    </w:pPr>
    <w:rPr>
      <w:rFonts w:ascii="Book Antiqua" w:hAnsi="Book Antiqua"/>
      <w:b/>
      <w:bCs/>
      <w:color w:val="0000FF"/>
      <w:sz w:val="22"/>
    </w:rPr>
  </w:style>
  <w:style w:type="paragraph" w:styleId="Heading3">
    <w:name w:val="heading 3"/>
    <w:basedOn w:val="Normal"/>
    <w:next w:val="Normal"/>
    <w:qFormat/>
    <w:rsid w:val="00B63421"/>
    <w:pPr>
      <w:keepNext/>
      <w:outlineLvl w:val="2"/>
    </w:pPr>
    <w:rPr>
      <w:rFonts w:ascii="Book Antiqua" w:hAnsi="Book Antiqua"/>
      <w:b/>
    </w:rPr>
  </w:style>
  <w:style w:type="paragraph" w:styleId="Heading4">
    <w:name w:val="heading 4"/>
    <w:basedOn w:val="Normal"/>
    <w:next w:val="Normal"/>
    <w:qFormat/>
    <w:rsid w:val="00B63421"/>
    <w:pPr>
      <w:keepNext/>
      <w:spacing w:before="240" w:after="60"/>
      <w:outlineLvl w:val="3"/>
    </w:pPr>
    <w:rPr>
      <w:b/>
      <w:bCs/>
      <w:sz w:val="28"/>
      <w:szCs w:val="28"/>
    </w:rPr>
  </w:style>
  <w:style w:type="paragraph" w:styleId="Heading5">
    <w:name w:val="heading 5"/>
    <w:basedOn w:val="Normal"/>
    <w:next w:val="Normal"/>
    <w:qFormat/>
    <w:rsid w:val="00B63421"/>
    <w:pPr>
      <w:keepNext/>
      <w:tabs>
        <w:tab w:val="left" w:pos="0"/>
      </w:tabs>
      <w:jc w:val="center"/>
      <w:outlineLvl w:val="4"/>
    </w:pPr>
    <w:rPr>
      <w:rFonts w:ascii="Arial" w:hAnsi="Arial" w:cs="Arial"/>
      <w:b/>
      <w:i/>
      <w:color w:val="996633"/>
      <w:szCs w:val="22"/>
      <w:u w:val="single"/>
      <w:lang w:val="en-US"/>
    </w:rPr>
  </w:style>
  <w:style w:type="paragraph" w:styleId="Heading9">
    <w:name w:val="heading 9"/>
    <w:basedOn w:val="Normal"/>
    <w:next w:val="Normal"/>
    <w:qFormat/>
    <w:rsid w:val="00B634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421"/>
    <w:pPr>
      <w:widowControl w:val="0"/>
      <w:autoSpaceDE w:val="0"/>
      <w:autoSpaceDN w:val="0"/>
      <w:adjustRightInd w:val="0"/>
    </w:pPr>
    <w:rPr>
      <w:rFonts w:ascii="FHILAN+Century725BdCnBT" w:hAnsi="FHILAN+Century725BdCnBT" w:cs="FHILAN+Century725BdCnBT"/>
      <w:color w:val="000000"/>
      <w:sz w:val="24"/>
      <w:szCs w:val="24"/>
    </w:rPr>
  </w:style>
  <w:style w:type="paragraph" w:customStyle="1" w:styleId="CM1">
    <w:name w:val="CM1"/>
    <w:basedOn w:val="Default"/>
    <w:next w:val="Default"/>
    <w:rsid w:val="00B63421"/>
    <w:rPr>
      <w:color w:val="auto"/>
    </w:rPr>
  </w:style>
  <w:style w:type="paragraph" w:customStyle="1" w:styleId="CM12">
    <w:name w:val="CM12"/>
    <w:basedOn w:val="Default"/>
    <w:next w:val="Default"/>
    <w:rsid w:val="00B63421"/>
    <w:pPr>
      <w:spacing w:after="343"/>
    </w:pPr>
    <w:rPr>
      <w:color w:val="auto"/>
    </w:rPr>
  </w:style>
  <w:style w:type="paragraph" w:customStyle="1" w:styleId="CM13">
    <w:name w:val="CM13"/>
    <w:basedOn w:val="Default"/>
    <w:next w:val="Default"/>
    <w:rsid w:val="00B63421"/>
    <w:pPr>
      <w:spacing w:after="240"/>
    </w:pPr>
    <w:rPr>
      <w:color w:val="auto"/>
    </w:rPr>
  </w:style>
  <w:style w:type="paragraph" w:customStyle="1" w:styleId="CM14">
    <w:name w:val="CM14"/>
    <w:basedOn w:val="Default"/>
    <w:next w:val="Default"/>
    <w:rsid w:val="00B63421"/>
    <w:pPr>
      <w:spacing w:after="438"/>
    </w:pPr>
    <w:rPr>
      <w:color w:val="auto"/>
    </w:rPr>
  </w:style>
  <w:style w:type="paragraph" w:customStyle="1" w:styleId="CM2">
    <w:name w:val="CM2"/>
    <w:basedOn w:val="Default"/>
    <w:next w:val="Default"/>
    <w:rsid w:val="00B63421"/>
    <w:rPr>
      <w:color w:val="auto"/>
    </w:rPr>
  </w:style>
  <w:style w:type="paragraph" w:customStyle="1" w:styleId="CM3">
    <w:name w:val="CM3"/>
    <w:basedOn w:val="Default"/>
    <w:next w:val="Default"/>
    <w:rsid w:val="00B63421"/>
    <w:pPr>
      <w:spacing w:line="231" w:lineRule="atLeast"/>
    </w:pPr>
    <w:rPr>
      <w:color w:val="auto"/>
    </w:rPr>
  </w:style>
  <w:style w:type="paragraph" w:customStyle="1" w:styleId="CM15">
    <w:name w:val="CM15"/>
    <w:basedOn w:val="Default"/>
    <w:next w:val="Default"/>
    <w:rsid w:val="00B63421"/>
    <w:pPr>
      <w:spacing w:after="168"/>
    </w:pPr>
    <w:rPr>
      <w:color w:val="auto"/>
    </w:rPr>
  </w:style>
  <w:style w:type="paragraph" w:customStyle="1" w:styleId="CM16">
    <w:name w:val="CM16"/>
    <w:basedOn w:val="Default"/>
    <w:next w:val="Default"/>
    <w:rsid w:val="00B63421"/>
    <w:pPr>
      <w:spacing w:after="118"/>
    </w:pPr>
    <w:rPr>
      <w:color w:val="auto"/>
    </w:rPr>
  </w:style>
  <w:style w:type="paragraph" w:customStyle="1" w:styleId="CM17">
    <w:name w:val="CM17"/>
    <w:basedOn w:val="Default"/>
    <w:next w:val="Default"/>
    <w:rsid w:val="00B63421"/>
    <w:pPr>
      <w:spacing w:after="615"/>
    </w:pPr>
    <w:rPr>
      <w:color w:val="auto"/>
    </w:rPr>
  </w:style>
  <w:style w:type="paragraph" w:customStyle="1" w:styleId="CM7">
    <w:name w:val="CM7"/>
    <w:basedOn w:val="Default"/>
    <w:next w:val="Default"/>
    <w:rsid w:val="00B63421"/>
    <w:pPr>
      <w:spacing w:line="253" w:lineRule="atLeast"/>
    </w:pPr>
    <w:rPr>
      <w:color w:val="auto"/>
    </w:rPr>
  </w:style>
  <w:style w:type="paragraph" w:customStyle="1" w:styleId="CM6">
    <w:name w:val="CM6"/>
    <w:basedOn w:val="Default"/>
    <w:next w:val="Default"/>
    <w:rsid w:val="00B63421"/>
    <w:pPr>
      <w:spacing w:line="246" w:lineRule="atLeast"/>
    </w:pPr>
    <w:rPr>
      <w:color w:val="auto"/>
    </w:rPr>
  </w:style>
  <w:style w:type="paragraph" w:styleId="BodyTextIndent">
    <w:name w:val="Body Text Indent"/>
    <w:basedOn w:val="Normal"/>
    <w:rsid w:val="00B63421"/>
    <w:pPr>
      <w:ind w:left="720"/>
    </w:pPr>
    <w:rPr>
      <w:rFonts w:ascii="Book Antiqua" w:hAnsi="Book Antiqua"/>
      <w:color w:val="3366FF"/>
    </w:rPr>
  </w:style>
  <w:style w:type="paragraph" w:styleId="BodyText">
    <w:name w:val="Body Text"/>
    <w:basedOn w:val="Normal"/>
    <w:rsid w:val="00B63421"/>
    <w:pPr>
      <w:autoSpaceDE w:val="0"/>
      <w:autoSpaceDN w:val="0"/>
      <w:adjustRightInd w:val="0"/>
      <w:jc w:val="both"/>
    </w:pPr>
    <w:rPr>
      <w:rFonts w:ascii="Book Antiqua" w:hAnsi="Book Antiqua"/>
      <w:color w:val="0000FF"/>
      <w:sz w:val="22"/>
    </w:rPr>
  </w:style>
  <w:style w:type="paragraph" w:styleId="BodyText2">
    <w:name w:val="Body Text 2"/>
    <w:basedOn w:val="Normal"/>
    <w:rsid w:val="00B63421"/>
    <w:rPr>
      <w:color w:val="0000FF"/>
    </w:rPr>
  </w:style>
  <w:style w:type="paragraph" w:styleId="Header">
    <w:name w:val="header"/>
    <w:basedOn w:val="Normal"/>
    <w:rsid w:val="00B63421"/>
    <w:pPr>
      <w:tabs>
        <w:tab w:val="center" w:pos="4153"/>
        <w:tab w:val="right" w:pos="8306"/>
      </w:tabs>
    </w:pPr>
  </w:style>
  <w:style w:type="paragraph" w:styleId="Footer">
    <w:name w:val="footer"/>
    <w:basedOn w:val="Normal"/>
    <w:rsid w:val="00B63421"/>
    <w:pPr>
      <w:tabs>
        <w:tab w:val="center" w:pos="4153"/>
        <w:tab w:val="right" w:pos="8306"/>
      </w:tabs>
    </w:pPr>
  </w:style>
  <w:style w:type="character" w:styleId="Hyperlink">
    <w:name w:val="Hyperlink"/>
    <w:basedOn w:val="DefaultParagraphFont"/>
    <w:rsid w:val="00B63421"/>
    <w:rPr>
      <w:color w:val="0000FF"/>
      <w:u w:val="single"/>
    </w:rPr>
  </w:style>
  <w:style w:type="paragraph" w:customStyle="1" w:styleId="BodySingle">
    <w:name w:val="Body Single"/>
    <w:basedOn w:val="Normal"/>
    <w:rsid w:val="00B63421"/>
    <w:pPr>
      <w:suppressAutoHyphens/>
    </w:pPr>
    <w:rPr>
      <w:rFonts w:ascii="Zurich BT" w:hAnsi="Zurich BT"/>
      <w:sz w:val="22"/>
    </w:rPr>
  </w:style>
  <w:style w:type="paragraph" w:styleId="TOC1">
    <w:name w:val="toc 1"/>
    <w:basedOn w:val="Normal"/>
    <w:next w:val="Normal"/>
    <w:autoRedefine/>
    <w:semiHidden/>
    <w:rsid w:val="00B63421"/>
  </w:style>
  <w:style w:type="character" w:styleId="FollowedHyperlink">
    <w:name w:val="FollowedHyperlink"/>
    <w:basedOn w:val="DefaultParagraphFont"/>
    <w:rsid w:val="00B63421"/>
    <w:rPr>
      <w:color w:val="800080"/>
      <w:u w:val="single"/>
    </w:rPr>
  </w:style>
  <w:style w:type="paragraph" w:styleId="Title">
    <w:name w:val="Title"/>
    <w:basedOn w:val="Normal"/>
    <w:qFormat/>
    <w:rsid w:val="00B63421"/>
    <w:pPr>
      <w:jc w:val="center"/>
    </w:pPr>
    <w:rPr>
      <w:rFonts w:ascii="Arial" w:hAnsi="Arial"/>
      <w:b/>
      <w:bCs/>
    </w:rPr>
  </w:style>
  <w:style w:type="paragraph" w:customStyle="1" w:styleId="CM8">
    <w:name w:val="CM8"/>
    <w:basedOn w:val="Default"/>
    <w:next w:val="Default"/>
    <w:rsid w:val="00B63421"/>
    <w:pPr>
      <w:spacing w:after="225"/>
    </w:pPr>
    <w:rPr>
      <w:rFonts w:ascii="LAKGC E+ Century Old" w:hAnsi="LAKGC E+ Century Old" w:cs="Times New Roman"/>
      <w:color w:val="auto"/>
    </w:rPr>
  </w:style>
  <w:style w:type="paragraph" w:styleId="BlockText">
    <w:name w:val="Block Text"/>
    <w:basedOn w:val="Normal"/>
    <w:rsid w:val="00B63421"/>
    <w:pPr>
      <w:tabs>
        <w:tab w:val="left" w:pos="8640"/>
      </w:tabs>
      <w:spacing w:line="240" w:lineRule="atLeast"/>
      <w:ind w:left="720" w:right="389"/>
      <w:jc w:val="both"/>
    </w:pPr>
    <w:rPr>
      <w:snapToGrid w:val="0"/>
      <w:color w:val="000000"/>
      <w:sz w:val="22"/>
    </w:rPr>
  </w:style>
  <w:style w:type="paragraph" w:styleId="TOC2">
    <w:name w:val="toc 2"/>
    <w:basedOn w:val="Normal"/>
    <w:next w:val="Normal"/>
    <w:autoRedefine/>
    <w:semiHidden/>
    <w:rsid w:val="00B63421"/>
    <w:pPr>
      <w:ind w:left="200"/>
    </w:pPr>
  </w:style>
  <w:style w:type="paragraph" w:customStyle="1" w:styleId="AODocTxt">
    <w:name w:val="AODocTxt"/>
    <w:basedOn w:val="Normal"/>
    <w:rsid w:val="00B63421"/>
    <w:pPr>
      <w:spacing w:before="240" w:line="260" w:lineRule="atLeast"/>
    </w:pPr>
    <w:rPr>
      <w:rFonts w:eastAsia="SimSun"/>
      <w:sz w:val="22"/>
      <w:szCs w:val="22"/>
    </w:rPr>
  </w:style>
  <w:style w:type="paragraph" w:customStyle="1" w:styleId="AODocTxtL1">
    <w:name w:val="AODocTxtL1"/>
    <w:basedOn w:val="AODocTxt"/>
    <w:rsid w:val="00B63421"/>
    <w:pPr>
      <w:numPr>
        <w:ilvl w:val="1"/>
      </w:numPr>
    </w:pPr>
  </w:style>
  <w:style w:type="paragraph" w:customStyle="1" w:styleId="AODocTxtL2">
    <w:name w:val="AODocTxtL2"/>
    <w:basedOn w:val="AODocTxt"/>
    <w:rsid w:val="00B63421"/>
    <w:pPr>
      <w:numPr>
        <w:ilvl w:val="2"/>
      </w:numPr>
    </w:pPr>
  </w:style>
  <w:style w:type="paragraph" w:customStyle="1" w:styleId="AODocTxtL3">
    <w:name w:val="AODocTxtL3"/>
    <w:basedOn w:val="AODocTxt"/>
    <w:rsid w:val="00B63421"/>
    <w:pPr>
      <w:numPr>
        <w:ilvl w:val="3"/>
      </w:numPr>
    </w:pPr>
  </w:style>
  <w:style w:type="paragraph" w:customStyle="1" w:styleId="AODocTxtL4">
    <w:name w:val="AODocTxtL4"/>
    <w:basedOn w:val="AODocTxt"/>
    <w:rsid w:val="00B63421"/>
    <w:pPr>
      <w:numPr>
        <w:ilvl w:val="4"/>
      </w:numPr>
    </w:pPr>
  </w:style>
  <w:style w:type="paragraph" w:customStyle="1" w:styleId="AODocTxtL5">
    <w:name w:val="AODocTxtL5"/>
    <w:basedOn w:val="AODocTxt"/>
    <w:rsid w:val="00B63421"/>
    <w:pPr>
      <w:numPr>
        <w:ilvl w:val="5"/>
      </w:numPr>
    </w:pPr>
  </w:style>
  <w:style w:type="paragraph" w:customStyle="1" w:styleId="AODocTxtL6">
    <w:name w:val="AODocTxtL6"/>
    <w:basedOn w:val="AODocTxt"/>
    <w:rsid w:val="00B63421"/>
    <w:pPr>
      <w:numPr>
        <w:ilvl w:val="6"/>
      </w:numPr>
    </w:pPr>
  </w:style>
  <w:style w:type="paragraph" w:customStyle="1" w:styleId="AODocTxtL7">
    <w:name w:val="AODocTxtL7"/>
    <w:basedOn w:val="AODocTxt"/>
    <w:rsid w:val="00B63421"/>
    <w:pPr>
      <w:numPr>
        <w:ilvl w:val="7"/>
      </w:numPr>
    </w:pPr>
  </w:style>
  <w:style w:type="paragraph" w:customStyle="1" w:styleId="AODocTxtL8">
    <w:name w:val="AODocTxtL8"/>
    <w:basedOn w:val="AODocTxt"/>
    <w:rsid w:val="00B63421"/>
    <w:pPr>
      <w:numPr>
        <w:ilvl w:val="8"/>
      </w:numPr>
    </w:pPr>
  </w:style>
  <w:style w:type="paragraph" w:customStyle="1" w:styleId="AOGenNum3">
    <w:name w:val="AOGenNum3"/>
    <w:basedOn w:val="Normal"/>
    <w:next w:val="AOGenNum3List"/>
    <w:rsid w:val="00B63421"/>
    <w:pPr>
      <w:tabs>
        <w:tab w:val="num" w:pos="720"/>
      </w:tabs>
      <w:spacing w:before="240" w:line="260" w:lineRule="atLeast"/>
      <w:ind w:left="720" w:hanging="720"/>
    </w:pPr>
    <w:rPr>
      <w:rFonts w:eastAsia="SimSun"/>
      <w:sz w:val="22"/>
      <w:szCs w:val="22"/>
    </w:rPr>
  </w:style>
  <w:style w:type="paragraph" w:customStyle="1" w:styleId="AOGenNum3List">
    <w:name w:val="AOGenNum3List"/>
    <w:basedOn w:val="AOGenNum3"/>
    <w:rsid w:val="00B63421"/>
    <w:pPr>
      <w:numPr>
        <w:ilvl w:val="1"/>
      </w:numPr>
      <w:tabs>
        <w:tab w:val="num" w:pos="720"/>
      </w:tabs>
      <w:ind w:left="720" w:hanging="720"/>
    </w:pPr>
  </w:style>
  <w:style w:type="paragraph" w:customStyle="1" w:styleId="AOHead1">
    <w:name w:val="AOHead1"/>
    <w:basedOn w:val="Normal"/>
    <w:next w:val="AODocTxtL1"/>
    <w:rsid w:val="00B63421"/>
    <w:pPr>
      <w:keepNext/>
      <w:tabs>
        <w:tab w:val="num" w:pos="720"/>
      </w:tabs>
      <w:spacing w:before="240" w:line="260" w:lineRule="atLeast"/>
      <w:ind w:left="720" w:hanging="720"/>
      <w:outlineLvl w:val="0"/>
    </w:pPr>
    <w:rPr>
      <w:rFonts w:eastAsia="SimSun"/>
      <w:b/>
      <w:caps/>
      <w:kern w:val="28"/>
      <w:sz w:val="22"/>
      <w:szCs w:val="22"/>
    </w:rPr>
  </w:style>
  <w:style w:type="paragraph" w:customStyle="1" w:styleId="AOHead2">
    <w:name w:val="AOHead2"/>
    <w:basedOn w:val="Normal"/>
    <w:next w:val="AODocTxtL1"/>
    <w:rsid w:val="00B63421"/>
    <w:pPr>
      <w:keepNext/>
      <w:tabs>
        <w:tab w:val="num" w:pos="720"/>
      </w:tabs>
      <w:spacing w:before="240" w:line="260" w:lineRule="atLeast"/>
      <w:ind w:left="720" w:hanging="720"/>
      <w:outlineLvl w:val="1"/>
    </w:pPr>
    <w:rPr>
      <w:rFonts w:eastAsia="SimSun"/>
      <w:b/>
      <w:sz w:val="22"/>
      <w:szCs w:val="22"/>
    </w:rPr>
  </w:style>
  <w:style w:type="paragraph" w:customStyle="1" w:styleId="AOHead3">
    <w:name w:val="AOHead3"/>
    <w:basedOn w:val="Normal"/>
    <w:next w:val="AODocTxtL2"/>
    <w:rsid w:val="00B63421"/>
    <w:pPr>
      <w:tabs>
        <w:tab w:val="num" w:pos="1440"/>
      </w:tabs>
      <w:spacing w:before="240" w:line="260" w:lineRule="atLeast"/>
      <w:ind w:left="1440" w:hanging="720"/>
      <w:outlineLvl w:val="2"/>
    </w:pPr>
    <w:rPr>
      <w:rFonts w:eastAsia="SimSun"/>
      <w:sz w:val="22"/>
      <w:szCs w:val="22"/>
    </w:rPr>
  </w:style>
  <w:style w:type="paragraph" w:customStyle="1" w:styleId="AOHead4">
    <w:name w:val="AOHead4"/>
    <w:basedOn w:val="Normal"/>
    <w:next w:val="AODocTxtL3"/>
    <w:rsid w:val="00B63421"/>
    <w:pPr>
      <w:tabs>
        <w:tab w:val="num" w:pos="2160"/>
      </w:tabs>
      <w:spacing w:before="240" w:line="260" w:lineRule="atLeast"/>
      <w:ind w:left="2160" w:hanging="720"/>
      <w:outlineLvl w:val="3"/>
    </w:pPr>
    <w:rPr>
      <w:rFonts w:eastAsia="SimSun"/>
      <w:sz w:val="22"/>
      <w:szCs w:val="22"/>
    </w:rPr>
  </w:style>
  <w:style w:type="paragraph" w:customStyle="1" w:styleId="AOHead5">
    <w:name w:val="AOHead5"/>
    <w:basedOn w:val="Normal"/>
    <w:next w:val="AODocTxtL4"/>
    <w:rsid w:val="00B63421"/>
    <w:pPr>
      <w:tabs>
        <w:tab w:val="num" w:pos="2880"/>
      </w:tabs>
      <w:spacing w:before="240" w:line="260" w:lineRule="atLeast"/>
      <w:ind w:left="2880" w:hanging="720"/>
      <w:outlineLvl w:val="4"/>
    </w:pPr>
    <w:rPr>
      <w:rFonts w:eastAsia="SimSun"/>
      <w:sz w:val="22"/>
      <w:szCs w:val="22"/>
    </w:rPr>
  </w:style>
  <w:style w:type="paragraph" w:customStyle="1" w:styleId="AOHead6">
    <w:name w:val="AOHead6"/>
    <w:basedOn w:val="Normal"/>
    <w:next w:val="AODocTxtL5"/>
    <w:rsid w:val="00B63421"/>
    <w:pPr>
      <w:tabs>
        <w:tab w:val="num" w:pos="3600"/>
      </w:tabs>
      <w:spacing w:before="240" w:line="260" w:lineRule="atLeast"/>
      <w:ind w:left="3600" w:hanging="720"/>
      <w:outlineLvl w:val="5"/>
    </w:pPr>
    <w:rPr>
      <w:rFonts w:eastAsia="SimSun"/>
      <w:sz w:val="22"/>
      <w:szCs w:val="22"/>
    </w:rPr>
  </w:style>
  <w:style w:type="paragraph" w:customStyle="1" w:styleId="AOAltHead1">
    <w:name w:val="AOAltHead1"/>
    <w:basedOn w:val="AOHead1"/>
    <w:next w:val="AODocTxtL1"/>
    <w:rsid w:val="00B63421"/>
    <w:pPr>
      <w:keepNext w:val="0"/>
      <w:tabs>
        <w:tab w:val="clear" w:pos="720"/>
      </w:tabs>
    </w:pPr>
    <w:rPr>
      <w:b w:val="0"/>
      <w:caps w:val="0"/>
    </w:rPr>
  </w:style>
  <w:style w:type="paragraph" w:customStyle="1" w:styleId="AOGenNum2">
    <w:name w:val="AOGenNum2"/>
    <w:basedOn w:val="Normal"/>
    <w:next w:val="AOGenNum2Para"/>
    <w:rsid w:val="00B63421"/>
    <w:pPr>
      <w:keepNext/>
      <w:tabs>
        <w:tab w:val="num" w:pos="720"/>
      </w:tabs>
      <w:spacing w:before="240" w:line="260" w:lineRule="atLeast"/>
      <w:ind w:left="720" w:hanging="720"/>
    </w:pPr>
    <w:rPr>
      <w:rFonts w:eastAsia="SimSun"/>
      <w:b/>
      <w:sz w:val="22"/>
      <w:szCs w:val="22"/>
    </w:rPr>
  </w:style>
  <w:style w:type="paragraph" w:customStyle="1" w:styleId="AOGenNum2Para">
    <w:name w:val="AOGenNum2Para"/>
    <w:basedOn w:val="AOGenNum2"/>
    <w:next w:val="AOGenNum2List"/>
    <w:rsid w:val="00B63421"/>
    <w:pPr>
      <w:keepNext w:val="0"/>
      <w:numPr>
        <w:ilvl w:val="1"/>
      </w:numPr>
      <w:tabs>
        <w:tab w:val="num" w:pos="720"/>
      </w:tabs>
      <w:ind w:left="720" w:hanging="720"/>
    </w:pPr>
    <w:rPr>
      <w:b w:val="0"/>
    </w:rPr>
  </w:style>
  <w:style w:type="paragraph" w:customStyle="1" w:styleId="AOGenNum2List">
    <w:name w:val="AOGenNum2List"/>
    <w:basedOn w:val="AOGenNum2"/>
    <w:rsid w:val="00B63421"/>
    <w:pPr>
      <w:keepNext w:val="0"/>
      <w:numPr>
        <w:ilvl w:val="2"/>
      </w:numPr>
      <w:tabs>
        <w:tab w:val="num" w:pos="720"/>
      </w:tabs>
      <w:ind w:left="720" w:hanging="720"/>
    </w:pPr>
    <w:rPr>
      <w:b w:val="0"/>
    </w:rPr>
  </w:style>
  <w:style w:type="paragraph" w:styleId="BodyTextIndent3">
    <w:name w:val="Body Text Indent 3"/>
    <w:basedOn w:val="Normal"/>
    <w:rsid w:val="00B63421"/>
    <w:pPr>
      <w:spacing w:after="120"/>
      <w:ind w:left="360"/>
    </w:pPr>
    <w:rPr>
      <w:sz w:val="16"/>
      <w:szCs w:val="16"/>
    </w:rPr>
  </w:style>
  <w:style w:type="character" w:styleId="PageNumber">
    <w:name w:val="page number"/>
    <w:basedOn w:val="DefaultParagraphFont"/>
    <w:rsid w:val="00B63421"/>
  </w:style>
  <w:style w:type="paragraph" w:customStyle="1" w:styleId="ListAlpha1">
    <w:name w:val="List Alpha 1"/>
    <w:basedOn w:val="Normal"/>
    <w:next w:val="BodyText"/>
    <w:rsid w:val="00B63421"/>
    <w:pPr>
      <w:widowControl w:val="0"/>
      <w:tabs>
        <w:tab w:val="left" w:pos="22"/>
        <w:tab w:val="left" w:pos="624"/>
      </w:tabs>
      <w:spacing w:after="200" w:line="288" w:lineRule="auto"/>
      <w:ind w:left="624" w:hanging="624"/>
      <w:jc w:val="both"/>
    </w:pPr>
    <w:rPr>
      <w:rFonts w:ascii="CG Times" w:hAnsi="CG Times"/>
      <w:sz w:val="22"/>
    </w:rPr>
  </w:style>
  <w:style w:type="paragraph" w:customStyle="1" w:styleId="ListRoman1">
    <w:name w:val="List Roman 1"/>
    <w:basedOn w:val="Normal"/>
    <w:next w:val="BodyText"/>
    <w:rsid w:val="00B63421"/>
    <w:pPr>
      <w:tabs>
        <w:tab w:val="left" w:pos="22"/>
        <w:tab w:val="left" w:pos="624"/>
      </w:tabs>
      <w:spacing w:after="200" w:line="288" w:lineRule="auto"/>
      <w:ind w:left="624" w:hanging="624"/>
      <w:jc w:val="both"/>
    </w:pPr>
    <w:rPr>
      <w:rFonts w:ascii="CG Times" w:hAnsi="CG Times"/>
      <w:sz w:val="22"/>
    </w:rPr>
  </w:style>
  <w:style w:type="paragraph" w:customStyle="1" w:styleId="ListRoman2">
    <w:name w:val="List Roman 2"/>
    <w:basedOn w:val="Normal"/>
    <w:next w:val="BodyText2"/>
    <w:rsid w:val="00B63421"/>
    <w:pPr>
      <w:tabs>
        <w:tab w:val="left" w:pos="50"/>
        <w:tab w:val="left" w:pos="1417"/>
      </w:tabs>
      <w:spacing w:after="200" w:line="288" w:lineRule="auto"/>
      <w:ind w:left="1417" w:hanging="793"/>
      <w:jc w:val="both"/>
    </w:pPr>
    <w:rPr>
      <w:rFonts w:ascii="CG Times" w:hAnsi="CG Times"/>
      <w:sz w:val="22"/>
    </w:rPr>
  </w:style>
  <w:style w:type="paragraph" w:customStyle="1" w:styleId="ListRoman3">
    <w:name w:val="List Roman 3"/>
    <w:basedOn w:val="Normal"/>
    <w:next w:val="BodyText3"/>
    <w:rsid w:val="00B63421"/>
    <w:pPr>
      <w:tabs>
        <w:tab w:val="left" w:pos="68"/>
        <w:tab w:val="left" w:pos="1928"/>
      </w:tabs>
      <w:spacing w:after="200" w:line="288" w:lineRule="auto"/>
      <w:ind w:left="1928" w:hanging="511"/>
      <w:jc w:val="both"/>
    </w:pPr>
    <w:rPr>
      <w:rFonts w:ascii="CG Times" w:hAnsi="CG Times"/>
      <w:sz w:val="22"/>
    </w:rPr>
  </w:style>
  <w:style w:type="paragraph" w:styleId="BodyText3">
    <w:name w:val="Body Text 3"/>
    <w:basedOn w:val="Normal"/>
    <w:rsid w:val="00B63421"/>
    <w:pPr>
      <w:spacing w:after="120"/>
    </w:pPr>
    <w:rPr>
      <w:sz w:val="16"/>
    </w:rPr>
  </w:style>
  <w:style w:type="paragraph" w:styleId="BodyTextIndent2">
    <w:name w:val="Body Text Indent 2"/>
    <w:basedOn w:val="Normal"/>
    <w:rsid w:val="00B63421"/>
    <w:pPr>
      <w:ind w:left="360"/>
    </w:pPr>
  </w:style>
  <w:style w:type="paragraph" w:styleId="FootnoteText">
    <w:name w:val="footnote text"/>
    <w:basedOn w:val="Normal"/>
    <w:semiHidden/>
    <w:rsid w:val="00B63421"/>
  </w:style>
  <w:style w:type="character" w:styleId="FootnoteReference">
    <w:name w:val="footnote reference"/>
    <w:basedOn w:val="DefaultParagraphFont"/>
    <w:semiHidden/>
    <w:rsid w:val="00B63421"/>
    <w:rPr>
      <w:vertAlign w:val="superscript"/>
    </w:rPr>
  </w:style>
  <w:style w:type="paragraph" w:styleId="BalloonText">
    <w:name w:val="Balloon Text"/>
    <w:basedOn w:val="Normal"/>
    <w:semiHidden/>
    <w:rsid w:val="00B63421"/>
    <w:rPr>
      <w:rFonts w:ascii="Tahoma" w:hAnsi="Tahoma" w:cs="Tahoma"/>
      <w:sz w:val="16"/>
      <w:szCs w:val="16"/>
    </w:rPr>
  </w:style>
  <w:style w:type="paragraph" w:styleId="ListParagraph">
    <w:name w:val="List Paragraph"/>
    <w:basedOn w:val="Normal"/>
    <w:uiPriority w:val="34"/>
    <w:qFormat/>
    <w:rsid w:val="000E0BE9"/>
    <w:pPr>
      <w:spacing w:after="200" w:line="276" w:lineRule="auto"/>
      <w:ind w:left="720"/>
      <w:contextualSpacing/>
    </w:pPr>
    <w:rPr>
      <w:rFonts w:ascii="Calibri" w:eastAsiaTheme="minorHAns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8426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04B3D-2EE9-4C38-91DE-F6733F30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Circular 1/ 03</vt:lpstr>
    </vt:vector>
  </TitlesOfParts>
  <Company>Dubai Gold &amp; Commodities Exchange</Company>
  <LinksUpToDate>false</LinksUpToDate>
  <CharactersWithSpaces>2395</CharactersWithSpaces>
  <SharedDoc>false</SharedDoc>
  <HLinks>
    <vt:vector size="24" baseType="variant">
      <vt:variant>
        <vt:i4>6553714</vt:i4>
      </vt:variant>
      <vt:variant>
        <vt:i4>9</vt:i4>
      </vt:variant>
      <vt:variant>
        <vt:i4>0</vt:i4>
      </vt:variant>
      <vt:variant>
        <vt:i4>5</vt:i4>
      </vt:variant>
      <vt:variant>
        <vt:lpwstr/>
      </vt:variant>
      <vt:variant>
        <vt:lpwstr>rdd</vt:lpwstr>
      </vt:variant>
      <vt:variant>
        <vt:i4>5308416</vt:i4>
      </vt:variant>
      <vt:variant>
        <vt:i4>6</vt:i4>
      </vt:variant>
      <vt:variant>
        <vt:i4>0</vt:i4>
      </vt:variant>
      <vt:variant>
        <vt:i4>5</vt:i4>
      </vt:variant>
      <vt:variant>
        <vt:lpwstr/>
      </vt:variant>
      <vt:variant>
        <vt:lpwstr>pcp2</vt:lpwstr>
      </vt:variant>
      <vt:variant>
        <vt:i4>5373952</vt:i4>
      </vt:variant>
      <vt:variant>
        <vt:i4>3</vt:i4>
      </vt:variant>
      <vt:variant>
        <vt:i4>0</vt:i4>
      </vt:variant>
      <vt:variant>
        <vt:i4>5</vt:i4>
      </vt:variant>
      <vt:variant>
        <vt:lpwstr/>
      </vt:variant>
      <vt:variant>
        <vt:lpwstr>pcp1</vt:lpwstr>
      </vt:variant>
      <vt:variant>
        <vt:i4>7536755</vt:i4>
      </vt:variant>
      <vt:variant>
        <vt:i4>0</vt:i4>
      </vt:variant>
      <vt:variant>
        <vt:i4>0</vt:i4>
      </vt:variant>
      <vt:variant>
        <vt:i4>5</vt:i4>
      </vt:variant>
      <vt:variant>
        <vt:lpwstr/>
      </vt:variant>
      <vt:variant>
        <vt:lpwstr>ss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1/ 03</dc:title>
  <dc:creator>Anjani Sinha</dc:creator>
  <cp:lastModifiedBy>Sivabalan</cp:lastModifiedBy>
  <cp:revision>20</cp:revision>
  <cp:lastPrinted>2005-10-31T13:01:00Z</cp:lastPrinted>
  <dcterms:created xsi:type="dcterms:W3CDTF">2016-08-05T11:47:00Z</dcterms:created>
  <dcterms:modified xsi:type="dcterms:W3CDTF">2016-08-08T13:25:00Z</dcterms:modified>
</cp:coreProperties>
</file>